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C67AD" w:rsidRDefault="00000000">
      <w:pPr>
        <w:pStyle w:val="Title"/>
        <w:jc w:val="center"/>
      </w:pPr>
      <w:bookmarkStart w:id="0" w:name="_heading=h.j0dmgnu28lru" w:colFirst="0" w:colLast="0"/>
      <w:bookmarkEnd w:id="0"/>
      <w:r>
        <w:rPr>
          <w:b/>
          <w:sz w:val="48"/>
          <w:szCs w:val="48"/>
        </w:rPr>
        <w:t>Schools as resilient ecosystems to the fight against disinformation: applying epistemic justice and echo-chamber theory to school leadership.</w:t>
      </w:r>
    </w:p>
    <w:p w14:paraId="00000002" w14:textId="77777777" w:rsidR="005C67AD" w:rsidRDefault="00000000">
      <w:pPr>
        <w:spacing w:after="120"/>
        <w:rPr>
          <w:rFonts w:ascii="Calibri" w:eastAsia="Calibri" w:hAnsi="Calibri" w:cs="Calibri"/>
          <w:i/>
          <w:color w:val="000000"/>
          <w:sz w:val="28"/>
          <w:szCs w:val="28"/>
        </w:rPr>
      </w:pPr>
      <w:r>
        <w:rPr>
          <w:rFonts w:ascii="Calibri" w:eastAsia="Calibri" w:hAnsi="Calibri" w:cs="Calibri"/>
          <w:i/>
          <w:color w:val="000000"/>
          <w:sz w:val="28"/>
          <w:szCs w:val="28"/>
        </w:rPr>
        <w:t>Konidari Victoria</w:t>
      </w:r>
    </w:p>
    <w:p w14:paraId="00000003" w14:textId="77777777" w:rsidR="005C67AD" w:rsidRDefault="00000000">
      <w:pPr>
        <w:spacing w:after="120"/>
        <w:rPr>
          <w:rFonts w:ascii="Calibri" w:eastAsia="Calibri" w:hAnsi="Calibri" w:cs="Calibri"/>
          <w:b/>
          <w:color w:val="E97132"/>
          <w:sz w:val="28"/>
          <w:szCs w:val="28"/>
        </w:rPr>
      </w:pPr>
      <w:r>
        <w:rPr>
          <w:rFonts w:ascii="Calibri" w:eastAsia="Calibri" w:hAnsi="Calibri" w:cs="Calibri"/>
          <w:b/>
          <w:color w:val="E97132"/>
          <w:sz w:val="28"/>
          <w:szCs w:val="28"/>
        </w:rPr>
        <w:t>Introduction</w:t>
      </w:r>
    </w:p>
    <w:p w14:paraId="00000004" w14:textId="77777777" w:rsidR="005C67AD" w:rsidRDefault="00000000">
      <w:pPr>
        <w:spacing w:after="120" w:line="360" w:lineRule="auto"/>
        <w:jc w:val="both"/>
        <w:rPr>
          <w:sz w:val="24"/>
          <w:szCs w:val="24"/>
        </w:rPr>
      </w:pPr>
      <w:bookmarkStart w:id="1" w:name="_heading=h.z3vii6mb14jf" w:colFirst="0" w:colLast="0"/>
      <w:bookmarkEnd w:id="1"/>
      <w:r>
        <w:rPr>
          <w:sz w:val="24"/>
          <w:szCs w:val="24"/>
        </w:rPr>
        <w:t xml:space="preserve">This module argues that the fight against disinformation should be seen in the context of the broader post-truth phenomenon, with which it is closely linked, </w:t>
      </w:r>
      <w:proofErr w:type="gramStart"/>
      <w:r>
        <w:rPr>
          <w:sz w:val="24"/>
          <w:szCs w:val="24"/>
        </w:rPr>
        <w:t>in order to</w:t>
      </w:r>
      <w:proofErr w:type="gramEnd"/>
      <w:r>
        <w:rPr>
          <w:sz w:val="24"/>
          <w:szCs w:val="24"/>
        </w:rPr>
        <w:t xml:space="preserve"> provide a broader understanding of the rise of information warfare in political, economic and social life. </w:t>
      </w:r>
      <w:proofErr w:type="gramStart"/>
      <w:r>
        <w:rPr>
          <w:sz w:val="24"/>
          <w:szCs w:val="24"/>
        </w:rPr>
        <w:t>With this in mind, this</w:t>
      </w:r>
      <w:proofErr w:type="gramEnd"/>
      <w:r>
        <w:rPr>
          <w:sz w:val="24"/>
          <w:szCs w:val="24"/>
        </w:rPr>
        <w:t xml:space="preserve"> module will first highlight the epistemic gaslighting manifestations of disinformation and the resulting damage to collective decision-making. Second, the focus will shift to education to discuss various manifestations of gaslighting in the macro and micro spheres of education that often go unnoticed. Third, this module concludes with a proposal for a new positioning of schools and school leaders that requires the strategic transformation of schools into healthy echo chambers for the promotion of epistemic justice as a countermeasure against disinformation in the post-truth era.</w:t>
      </w:r>
    </w:p>
    <w:p w14:paraId="00000005" w14:textId="77777777" w:rsidR="005C67AD" w:rsidRDefault="00000000">
      <w:pPr>
        <w:spacing w:after="120" w:line="360" w:lineRule="auto"/>
        <w:jc w:val="both"/>
        <w:rPr>
          <w:sz w:val="24"/>
          <w:szCs w:val="24"/>
        </w:rPr>
      </w:pPr>
      <w:bookmarkStart w:id="2" w:name="_heading=h.3ahx9gck60ob" w:colFirst="0" w:colLast="0"/>
      <w:bookmarkEnd w:id="2"/>
      <w:r>
        <w:rPr>
          <w:sz w:val="24"/>
          <w:szCs w:val="24"/>
        </w:rPr>
        <w:t>The rationale underlying the above structure is based on three points: (a) on the premise that in addition to the epistemological pillar, which is mainly addressed in the classroom, the fight against disinformation also requires a more holistic approach at the school level, requiring school communities to be vigilant in their communication practices and to lead by example in order to cope with increasing information warfare; b) on the proposition that the understanding of the gaslighting component of disinformation, that is beyond the scope, control and reach of the school is facilitated by recognizing and identifying the phenomenon in everyday school life; c) on the assumption that if school stakeholders learn to operate in a healthy communication environment, this learning will serve as a support for them to cope with the information war of disinformation.</w:t>
      </w:r>
    </w:p>
    <w:p w14:paraId="00000006" w14:textId="77777777" w:rsidR="005C67AD" w:rsidRDefault="00000000">
      <w:pPr>
        <w:spacing w:after="120" w:line="360" w:lineRule="auto"/>
        <w:jc w:val="both"/>
        <w:rPr>
          <w:sz w:val="24"/>
          <w:szCs w:val="24"/>
        </w:rPr>
      </w:pPr>
      <w:bookmarkStart w:id="3" w:name="_heading=h.gm7c4298fl1o" w:colFirst="0" w:colLast="0"/>
      <w:bookmarkEnd w:id="3"/>
      <w:r>
        <w:rPr>
          <w:sz w:val="24"/>
          <w:szCs w:val="24"/>
        </w:rPr>
        <w:t>This module takes a modular approach on three sections:</w:t>
      </w:r>
    </w:p>
    <w:p w14:paraId="00000007" w14:textId="77777777" w:rsidR="005C67AD" w:rsidRDefault="00000000">
      <w:pPr>
        <w:spacing w:after="120" w:line="360" w:lineRule="auto"/>
        <w:jc w:val="both"/>
        <w:rPr>
          <w:b/>
          <w:sz w:val="24"/>
          <w:szCs w:val="24"/>
        </w:rPr>
      </w:pPr>
      <w:r>
        <w:rPr>
          <w:b/>
          <w:sz w:val="24"/>
          <w:szCs w:val="24"/>
        </w:rPr>
        <w:lastRenderedPageBreak/>
        <w:t>The first section aims to:</w:t>
      </w:r>
    </w:p>
    <w:p w14:paraId="00000008" w14:textId="77777777" w:rsidR="005C67AD" w:rsidRDefault="00000000">
      <w:pPr>
        <w:spacing w:after="0" w:line="360" w:lineRule="auto"/>
        <w:jc w:val="both"/>
        <w:rPr>
          <w:sz w:val="24"/>
          <w:szCs w:val="24"/>
        </w:rPr>
      </w:pPr>
      <w:r>
        <w:rPr>
          <w:sz w:val="24"/>
          <w:szCs w:val="24"/>
        </w:rPr>
        <w:t>(a) raise awareness of the post-truth era as an emerging phenomenon permeating civic and political life</w:t>
      </w:r>
    </w:p>
    <w:p w14:paraId="00000009" w14:textId="77777777" w:rsidR="005C67AD" w:rsidRDefault="00000000">
      <w:pPr>
        <w:spacing w:after="0" w:line="360" w:lineRule="auto"/>
        <w:jc w:val="both"/>
        <w:rPr>
          <w:sz w:val="24"/>
          <w:szCs w:val="24"/>
        </w:rPr>
      </w:pPr>
      <w:r>
        <w:rPr>
          <w:sz w:val="24"/>
          <w:szCs w:val="24"/>
        </w:rPr>
        <w:t>(b) highlight the close relationship between post-truth and democracy and the &lt;&lt;&lt;&lt;&lt;&lt;&lt;&lt;&lt;&lt;threats and dangers that their intertwining poses to democracy</w:t>
      </w:r>
    </w:p>
    <w:p w14:paraId="0000000A" w14:textId="77777777" w:rsidR="005C67AD" w:rsidRDefault="00000000">
      <w:pPr>
        <w:spacing w:after="0" w:line="360" w:lineRule="auto"/>
        <w:jc w:val="both"/>
        <w:rPr>
          <w:sz w:val="24"/>
          <w:szCs w:val="24"/>
        </w:rPr>
      </w:pPr>
      <w:r>
        <w:rPr>
          <w:sz w:val="24"/>
          <w:szCs w:val="24"/>
        </w:rPr>
        <w:t>(c) focus on gaslighting, a key manipulation tool of disinformation, and raise awareness of the psychological and sociological factors that are activated in disinformation attacks.</w:t>
      </w:r>
    </w:p>
    <w:p w14:paraId="0000000B" w14:textId="77777777" w:rsidR="005C67AD" w:rsidRDefault="00000000">
      <w:pPr>
        <w:spacing w:after="0" w:line="360" w:lineRule="auto"/>
        <w:jc w:val="both"/>
        <w:rPr>
          <w:b/>
          <w:sz w:val="24"/>
          <w:szCs w:val="24"/>
        </w:rPr>
      </w:pPr>
      <w:r>
        <w:rPr>
          <w:b/>
          <w:sz w:val="24"/>
          <w:szCs w:val="24"/>
        </w:rPr>
        <w:t>The second section aims to:</w:t>
      </w:r>
    </w:p>
    <w:p w14:paraId="0000000C" w14:textId="77777777" w:rsidR="005C67AD" w:rsidRDefault="00000000">
      <w:pPr>
        <w:spacing w:after="0" w:line="360" w:lineRule="auto"/>
        <w:jc w:val="both"/>
        <w:rPr>
          <w:sz w:val="24"/>
          <w:szCs w:val="24"/>
        </w:rPr>
      </w:pPr>
      <w:r>
        <w:rPr>
          <w:sz w:val="24"/>
          <w:szCs w:val="24"/>
        </w:rPr>
        <w:t>(d) raise awareness of the manifestations of gaslighting at the macro and micro levels in education that go unnoticed.</w:t>
      </w:r>
    </w:p>
    <w:p w14:paraId="0000000D" w14:textId="77777777" w:rsidR="005C67AD" w:rsidRDefault="00000000">
      <w:pPr>
        <w:spacing w:after="0" w:line="360" w:lineRule="auto"/>
        <w:jc w:val="both"/>
        <w:rPr>
          <w:sz w:val="24"/>
          <w:szCs w:val="24"/>
        </w:rPr>
      </w:pPr>
      <w:r>
        <w:rPr>
          <w:sz w:val="24"/>
          <w:szCs w:val="24"/>
        </w:rPr>
        <w:t xml:space="preserve">(e) shed light on the </w:t>
      </w:r>
      <w:proofErr w:type="gramStart"/>
      <w:r>
        <w:rPr>
          <w:sz w:val="24"/>
          <w:szCs w:val="24"/>
        </w:rPr>
        <w:t>affective</w:t>
      </w:r>
      <w:proofErr w:type="gramEnd"/>
      <w:r>
        <w:rPr>
          <w:sz w:val="24"/>
          <w:szCs w:val="24"/>
        </w:rPr>
        <w:t xml:space="preserve"> and epistemic injustices of gaslighting</w:t>
      </w:r>
    </w:p>
    <w:p w14:paraId="0000000E" w14:textId="77777777" w:rsidR="005C67AD" w:rsidRDefault="00000000">
      <w:pPr>
        <w:spacing w:after="0" w:line="360" w:lineRule="auto"/>
        <w:jc w:val="both"/>
        <w:rPr>
          <w:sz w:val="24"/>
          <w:szCs w:val="24"/>
        </w:rPr>
      </w:pPr>
      <w:r>
        <w:rPr>
          <w:sz w:val="24"/>
          <w:szCs w:val="24"/>
        </w:rPr>
        <w:t>(f) problematize the structural and institutional violence of the above injustices.</w:t>
      </w:r>
    </w:p>
    <w:p w14:paraId="0000000F" w14:textId="77777777" w:rsidR="005C67AD" w:rsidRDefault="00000000">
      <w:pPr>
        <w:spacing w:after="0" w:line="360" w:lineRule="auto"/>
        <w:jc w:val="both"/>
        <w:rPr>
          <w:b/>
          <w:sz w:val="24"/>
          <w:szCs w:val="24"/>
        </w:rPr>
      </w:pPr>
      <w:r>
        <w:rPr>
          <w:b/>
          <w:sz w:val="24"/>
          <w:szCs w:val="24"/>
        </w:rPr>
        <w:t>The aim of the third and final section is to:</w:t>
      </w:r>
    </w:p>
    <w:p w14:paraId="00000010" w14:textId="77777777" w:rsidR="005C67AD" w:rsidRDefault="00000000">
      <w:pPr>
        <w:spacing w:after="0" w:line="360" w:lineRule="auto"/>
        <w:jc w:val="both"/>
        <w:rPr>
          <w:sz w:val="24"/>
          <w:szCs w:val="24"/>
        </w:rPr>
      </w:pPr>
      <w:r>
        <w:rPr>
          <w:sz w:val="24"/>
          <w:szCs w:val="24"/>
        </w:rPr>
        <w:t>(g) promote leadership by example model with a focus on understanding the importance of accountability, transparency and responsibility.</w:t>
      </w:r>
    </w:p>
    <w:p w14:paraId="00000011" w14:textId="77777777" w:rsidR="005C67AD" w:rsidRDefault="00000000">
      <w:pPr>
        <w:spacing w:after="0" w:line="360" w:lineRule="auto"/>
        <w:jc w:val="both"/>
        <w:rPr>
          <w:sz w:val="24"/>
          <w:szCs w:val="24"/>
        </w:rPr>
      </w:pPr>
      <w:r>
        <w:rPr>
          <w:sz w:val="24"/>
          <w:szCs w:val="24"/>
        </w:rPr>
        <w:t>(h) raise awareness among school leaders of the role of the school as a critical infrastructure in the fight against disinformation and the ontological aspect of the digital transnational space.</w:t>
      </w:r>
    </w:p>
    <w:p w14:paraId="00000012" w14:textId="77777777" w:rsidR="005C67AD" w:rsidRDefault="00000000">
      <w:pPr>
        <w:spacing w:after="0" w:line="360" w:lineRule="auto"/>
        <w:jc w:val="both"/>
        <w:rPr>
          <w:sz w:val="24"/>
          <w:szCs w:val="24"/>
        </w:rPr>
      </w:pPr>
      <w:r>
        <w:rPr>
          <w:sz w:val="24"/>
          <w:szCs w:val="24"/>
        </w:rPr>
        <w:t>(</w:t>
      </w:r>
      <w:proofErr w:type="spellStart"/>
      <w:r>
        <w:rPr>
          <w:sz w:val="24"/>
          <w:szCs w:val="24"/>
        </w:rPr>
        <w:t>i</w:t>
      </w:r>
      <w:proofErr w:type="spellEnd"/>
      <w:r>
        <w:rPr>
          <w:sz w:val="24"/>
          <w:szCs w:val="24"/>
        </w:rPr>
        <w:t>) provide the tools for the development of schools as healthy echo-chambers from the ground up.</w:t>
      </w:r>
    </w:p>
    <w:p w14:paraId="00000013" w14:textId="77777777" w:rsidR="005C67AD" w:rsidRDefault="00000000">
      <w:pPr>
        <w:spacing w:after="0" w:line="360" w:lineRule="auto"/>
        <w:jc w:val="both"/>
        <w:rPr>
          <w:sz w:val="24"/>
          <w:szCs w:val="24"/>
        </w:rPr>
      </w:pPr>
      <w:proofErr w:type="gramStart"/>
      <w:r>
        <w:rPr>
          <w:sz w:val="24"/>
          <w:szCs w:val="24"/>
        </w:rPr>
        <w:t>By</w:t>
      </w:r>
      <w:proofErr w:type="gramEnd"/>
      <w:r>
        <w:rPr>
          <w:sz w:val="24"/>
          <w:szCs w:val="24"/>
        </w:rPr>
        <w:t xml:space="preserve"> the end of this module, participants should be able to:</w:t>
      </w:r>
    </w:p>
    <w:p w14:paraId="00000014" w14:textId="77777777" w:rsidR="005C67AD" w:rsidRDefault="00000000">
      <w:pPr>
        <w:spacing w:after="0" w:line="360" w:lineRule="auto"/>
        <w:jc w:val="both"/>
        <w:rPr>
          <w:sz w:val="24"/>
          <w:szCs w:val="24"/>
        </w:rPr>
      </w:pPr>
      <w:bookmarkStart w:id="4" w:name="_heading=h.ekhpfz7it0hw" w:colFirst="0" w:colLast="0"/>
      <w:bookmarkEnd w:id="4"/>
      <w:r>
        <w:rPr>
          <w:sz w:val="24"/>
          <w:szCs w:val="24"/>
        </w:rPr>
        <w:t>- know the basic characteristics and functions of the post-truth era,</w:t>
      </w:r>
    </w:p>
    <w:p w14:paraId="00000015" w14:textId="77777777" w:rsidR="005C67AD" w:rsidRDefault="00000000">
      <w:pPr>
        <w:spacing w:after="0" w:line="360" w:lineRule="auto"/>
        <w:jc w:val="both"/>
        <w:rPr>
          <w:sz w:val="24"/>
          <w:szCs w:val="24"/>
        </w:rPr>
      </w:pPr>
      <w:r>
        <w:rPr>
          <w:sz w:val="24"/>
          <w:szCs w:val="24"/>
        </w:rPr>
        <w:t>- recognize the connection between post-truth and disinformation,</w:t>
      </w:r>
    </w:p>
    <w:p w14:paraId="00000016" w14:textId="77777777" w:rsidR="005C67AD" w:rsidRDefault="00000000">
      <w:pPr>
        <w:spacing w:after="0" w:line="360" w:lineRule="auto"/>
        <w:jc w:val="both"/>
        <w:rPr>
          <w:sz w:val="24"/>
          <w:szCs w:val="24"/>
        </w:rPr>
      </w:pPr>
      <w:r>
        <w:rPr>
          <w:sz w:val="24"/>
          <w:szCs w:val="24"/>
        </w:rPr>
        <w:t>- identify gaslighting tactics at the macro and micro levels of educational institutions,</w:t>
      </w:r>
    </w:p>
    <w:p w14:paraId="00000017" w14:textId="77777777" w:rsidR="005C67AD" w:rsidRDefault="00000000">
      <w:pPr>
        <w:spacing w:after="0" w:line="360" w:lineRule="auto"/>
        <w:jc w:val="both"/>
        <w:rPr>
          <w:sz w:val="24"/>
          <w:szCs w:val="24"/>
        </w:rPr>
      </w:pPr>
      <w:r>
        <w:rPr>
          <w:sz w:val="24"/>
          <w:szCs w:val="24"/>
        </w:rPr>
        <w:t>- detect and respond to gaslighting in schools,</w:t>
      </w:r>
    </w:p>
    <w:p w14:paraId="00000018" w14:textId="77777777" w:rsidR="005C67AD" w:rsidRDefault="00000000">
      <w:pPr>
        <w:spacing w:after="0" w:line="360" w:lineRule="auto"/>
        <w:jc w:val="both"/>
        <w:rPr>
          <w:sz w:val="24"/>
          <w:szCs w:val="24"/>
        </w:rPr>
      </w:pPr>
      <w:r>
        <w:rPr>
          <w:sz w:val="24"/>
          <w:szCs w:val="24"/>
        </w:rPr>
        <w:t>-prioritize building healthy echo chamber in school to ensure both individual and organizational resilience to the information war,</w:t>
      </w:r>
    </w:p>
    <w:p w14:paraId="00000019" w14:textId="77777777" w:rsidR="005C67AD" w:rsidRDefault="00000000">
      <w:pPr>
        <w:spacing w:after="0" w:line="360" w:lineRule="auto"/>
        <w:jc w:val="both"/>
        <w:rPr>
          <w:sz w:val="24"/>
          <w:szCs w:val="24"/>
        </w:rPr>
      </w:pPr>
      <w:r>
        <w:rPr>
          <w:sz w:val="24"/>
          <w:szCs w:val="24"/>
        </w:rPr>
        <w:t>-develop and apply organizational tools to tackle post-truth phenomena in the school community from the ground up.</w:t>
      </w:r>
    </w:p>
    <w:p w14:paraId="0000001A" w14:textId="77777777" w:rsidR="005C67AD" w:rsidRDefault="00000000">
      <w:pPr>
        <w:pStyle w:val="Subtitle"/>
        <w:rPr>
          <w:b/>
          <w:color w:val="000000"/>
        </w:rPr>
      </w:pPr>
      <w:r>
        <w:rPr>
          <w:b/>
          <w:color w:val="000000"/>
        </w:rPr>
        <w:lastRenderedPageBreak/>
        <w:t>Section 1. The post-truth phenomenon: a truth warfare</w:t>
      </w:r>
    </w:p>
    <w:p w14:paraId="0000001B" w14:textId="77777777" w:rsidR="005C67AD" w:rsidRDefault="00000000">
      <w:pPr>
        <w:pBdr>
          <w:top w:val="nil"/>
          <w:left w:val="nil"/>
          <w:bottom w:val="nil"/>
          <w:right w:val="nil"/>
          <w:between w:val="nil"/>
        </w:pBdr>
        <w:spacing w:after="0" w:line="360" w:lineRule="auto"/>
        <w:jc w:val="both"/>
        <w:rPr>
          <w:color w:val="000000"/>
          <w:sz w:val="24"/>
          <w:szCs w:val="24"/>
        </w:rPr>
      </w:pPr>
      <w:bookmarkStart w:id="5" w:name="_heading=h.umj7fpwmle7p" w:colFirst="0" w:colLast="0"/>
      <w:bookmarkEnd w:id="5"/>
      <w:r>
        <w:rPr>
          <w:color w:val="000000"/>
          <w:sz w:val="24"/>
          <w:szCs w:val="24"/>
        </w:rPr>
        <w:t xml:space="preserve">The aim of the first section is to provide a broader approach to disinformation that emphasizes the close link between post-truth and disinformation and focuses on gaslighting as a key disinformation technique used on a mass scale to assert power, </w:t>
      </w:r>
      <w:sdt>
        <w:sdtPr>
          <w:tag w:val="goog_rdk_0"/>
          <w:id w:val="991755189"/>
        </w:sdtPr>
        <w:sdtContent/>
      </w:sdt>
      <w:r>
        <w:rPr>
          <w:color w:val="000000"/>
          <w:sz w:val="24"/>
          <w:szCs w:val="24"/>
        </w:rPr>
        <w:t>political and economic gain.</w:t>
      </w:r>
    </w:p>
    <w:p w14:paraId="0000001C" w14:textId="77777777" w:rsidR="005C67AD" w:rsidRDefault="00000000">
      <w:pPr>
        <w:pBdr>
          <w:top w:val="nil"/>
          <w:left w:val="nil"/>
          <w:bottom w:val="nil"/>
          <w:right w:val="nil"/>
          <w:between w:val="nil"/>
        </w:pBdr>
        <w:spacing w:after="0" w:line="360" w:lineRule="auto"/>
        <w:jc w:val="both"/>
        <w:rPr>
          <w:color w:val="000000"/>
          <w:sz w:val="24"/>
          <w:szCs w:val="24"/>
        </w:rPr>
      </w:pPr>
      <w:r>
        <w:rPr>
          <w:noProof/>
        </w:rPr>
        <mc:AlternateContent>
          <mc:Choice Requires="wps">
            <w:drawing>
              <wp:anchor distT="0" distB="0" distL="114300" distR="114300" simplePos="0" relativeHeight="251658240" behindDoc="0" locked="0" layoutInCell="1" hidden="0" allowOverlap="1" wp14:editId="3E227AE7">
                <wp:simplePos x="0" y="0"/>
                <wp:positionH relativeFrom="margin">
                  <wp:align>left</wp:align>
                </wp:positionH>
                <wp:positionV relativeFrom="paragraph">
                  <wp:posOffset>1</wp:posOffset>
                </wp:positionV>
                <wp:extent cx="6038850" cy="939800"/>
                <wp:effectExtent l="0" t="0" r="19050" b="12700"/>
                <wp:wrapNone/>
                <wp:docPr id="2025443582" name="Rectangle: Rounded Corners 2025443582"/>
                <wp:cNvGraphicFramePr/>
                <a:graphic xmlns:a="http://schemas.openxmlformats.org/drawingml/2006/main">
                  <a:graphicData uri="http://schemas.microsoft.com/office/word/2010/wordprocessingShape">
                    <wps:wsp>
                      <wps:cNvSpPr/>
                      <wps:spPr>
                        <a:xfrm>
                          <a:off x="0" y="0"/>
                          <a:ext cx="6038850" cy="939800"/>
                        </a:xfrm>
                        <a:prstGeom prst="roundRect">
                          <a:avLst>
                            <a:gd name="adj" fmla="val 16667"/>
                          </a:avLst>
                        </a:prstGeom>
                        <a:gradFill>
                          <a:gsLst>
                            <a:gs pos="0">
                              <a:srgbClr val="9BB29C"/>
                            </a:gs>
                            <a:gs pos="50000">
                              <a:srgbClr val="8EA78F"/>
                            </a:gs>
                            <a:gs pos="100000">
                              <a:srgbClr val="799A7B"/>
                            </a:gs>
                          </a:gsLst>
                          <a:lin ang="5400000" scaled="0"/>
                        </a:gradFill>
                        <a:ln w="9525" cap="flat" cmpd="sng">
                          <a:solidFill>
                            <a:schemeClr val="accent3"/>
                          </a:solidFill>
                          <a:prstDash val="solid"/>
                          <a:miter lim="800000"/>
                          <a:headEnd type="none" w="sm" len="sm"/>
                          <a:tailEnd type="none" w="sm" len="sm"/>
                        </a:ln>
                      </wps:spPr>
                      <wps:txbx>
                        <w:txbxContent>
                          <w:p w14:paraId="49C5CE31" w14:textId="77777777" w:rsidR="003D29C9" w:rsidRDefault="003D29C9">
                            <w:pPr>
                              <w:spacing w:after="0" w:line="360" w:lineRule="auto"/>
                              <w:ind w:left="720" w:firstLine="360"/>
                              <w:textDirection w:val="btLr"/>
                              <w:rPr>
                                <w:rFonts w:ascii="Arial" w:eastAsia="Arial" w:hAnsi="Arial" w:cs="Arial"/>
                                <w:b/>
                                <w:color w:val="C00000"/>
                                <w:sz w:val="24"/>
                              </w:rPr>
                            </w:pPr>
                          </w:p>
                          <w:p w14:paraId="07FE04C9" w14:textId="583FB5A4" w:rsidR="005C67AD" w:rsidRDefault="003D29C9">
                            <w:pPr>
                              <w:spacing w:after="0" w:line="360" w:lineRule="auto"/>
                              <w:ind w:left="720" w:firstLine="360"/>
                              <w:textDirection w:val="btLr"/>
                            </w:pPr>
                            <w:r>
                              <w:rPr>
                                <w:rFonts w:ascii="Arial" w:eastAsia="Arial" w:hAnsi="Arial" w:cs="Arial"/>
                                <w:b/>
                                <w:color w:val="C00000"/>
                                <w:sz w:val="24"/>
                              </w:rPr>
                              <w:t xml:space="preserve">Group discussion on the results of the entry assessment </w:t>
                            </w:r>
                          </w:p>
                          <w:p w14:paraId="370A42D3" w14:textId="368694D6" w:rsidR="005C67AD" w:rsidRDefault="005C67AD">
                            <w:pPr>
                              <w:spacing w:after="0" w:line="360" w:lineRule="auto"/>
                              <w:ind w:left="720" w:firstLine="360"/>
                              <w:textDirection w:val="btLr"/>
                            </w:pPr>
                          </w:p>
                          <w:p w14:paraId="1FB26E26" w14:textId="77777777" w:rsidR="005C67AD" w:rsidRDefault="005C67AD">
                            <w:pPr>
                              <w:jc w:val="center"/>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id="Rectangle: Rounded Corners 2025443582" o:spid="_x0000_s1026" style="position:absolute;left:0;text-align:left;margin-left:0;margin-top:0;width:475.5pt;height:74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LI1ewIAACEFAAAOAAAAZHJzL2Uyb0RvYy54bWysVNtu2zAMfR+wfxD0vtpJmyvqFL1lGFB0&#10;xbp9ACPLtgbdJiq3vx+luGmwFhgwLA8KZZJHh4eiLq92RrONDKicrfjgrORMWuFqZduK//i+/DTl&#10;DCPYGrSzsuJ7ifxq8fHD5dbP5dB1TtcyMAKxON/6incx+nlRoOikATxzXlpyNi4YiLQNbVEH2BK6&#10;0cWwLMfF1oXaByckIn29Ozj5IuM3jRTxa9OgjExXnLjFvIa8rtJaLC5h3gbwnRI9DfgHFgaUpUOP&#10;UHcQga2DegNllAgOXRPPhDOFaxolZK6BqhmUf1Tz3IGXuRYSB/1RJvx/sOJx8+yfAsmw9ThHMlMV&#10;uyaY9E/82C6LtT+KJXeRCfo4Ls+n0xFpKsg3O59Ny6xm8ZrtA8bP0hmWjIoHt7b1N+pIFgo2Dxiz&#10;YjWzYOhqQP2Ts8Zo0n8Dmg3G4/Ek9YcQ+2CyXjB7reul0jrb+AKHzDsSqMynYGhXtzowAiSSNzfD&#10;2W0P2eIh7RA9Kun3NmN6fz2ZLt/NGKSMd1Ims9n15OYkhUi3L+S0sgzSZIwuDukMBWhZ9+Km0ADH&#10;mrRlW2I9Go5IZKDhaDREMo2nBLTtga/T6piRx0YeCwYhpI3nPRk8jUw63gF2B2WyK4XB3KhIA6mV&#10;qTh1NJWYP3cS6ntbs7j31CpLs8wTOTScaUmTT0aOi6D03+OoUG2ps693Lllxt9oRSDJXrt4/BYZe&#10;LBUxfQCMTxDoZgzoWJpWOvDXGgKR0F8sdXs2uEgqxby5GE2INgunntWpB6zoHD0CIgZO/Uib25gf&#10;haSAddfr6BoViUtmeCDTb2gO85Xs34w06Kf7HPX6si1+AwAA//8DAFBLAwQUAAYACAAAACEAQgp9&#10;5dkAAAAFAQAADwAAAGRycy9kb3ducmV2LnhtbEyPwU7DMBBE70j9B2srcaNOUduEEKeqkHrkQOHC&#10;zY03cVR7HcVuGv6ehQtcVhrNaPZNtZ+9ExOOsQ+kYL3KQCA1wfTUKfh4Pz4UIGLSZLQLhAq+MMK+&#10;XtxVujThRm84nVInuIRiqRXYlIZSythY9DquwoDEXhtGrxPLsZNm1Dcu904+ZtlOet0Tf7B6wBeL&#10;zeV09QoO8XIMn9vg2mJqdzLf5K82z5W6X86HZxAJ5/QXhh98Roeamc7hSiYKp4CHpN/L3tN2zfLM&#10;oU2Rgawr+Z++/gYAAP//AwBQSwECLQAUAAYACAAAACEAtoM4kv4AAADhAQAAEwAAAAAAAAAAAAAA&#10;AAAAAAAAW0NvbnRlbnRfVHlwZXNdLnhtbFBLAQItABQABgAIAAAAIQA4/SH/1gAAAJQBAAALAAAA&#10;AAAAAAAAAAAAAC8BAABfcmVscy8ucmVsc1BLAQItABQABgAIAAAAIQCpyLI1ewIAACEFAAAOAAAA&#10;AAAAAAAAAAAAAC4CAABkcnMvZTJvRG9jLnhtbFBLAQItABQABgAIAAAAIQBCCn3l2QAAAAUBAAAP&#10;AAAAAAAAAAAAAAAAANUEAABkcnMvZG93bnJldi54bWxQSwUGAAAAAAQABADzAAAA2wUAAAAA&#10;" fillcolor="#9bb29c" strokecolor="#196b24 [3206]">
                <v:fill color2="#799a7b" colors="0 #9bb29c;.5 #8ea78f;1 #799a7b" focus="100%" type="gradient">
                  <o:fill v:ext="view" type="gradientUnscaled"/>
                </v:fill>
                <v:stroke startarrowwidth="narrow" startarrowlength="short" endarrowwidth="narrow" endarrowlength="short" joinstyle="miter"/>
                <v:textbox inset="2.53958mm,1.2694mm,2.53958mm,1.2694mm">
                  <w:txbxContent>
                    <w:p w14:paraId="49C5CE31" w14:textId="77777777" w:rsidR="003D29C9" w:rsidRDefault="003D29C9">
                      <w:pPr>
                        <w:spacing w:after="0" w:line="360" w:lineRule="auto"/>
                        <w:ind w:left="720" w:firstLine="360"/>
                        <w:textDirection w:val="btLr"/>
                        <w:rPr>
                          <w:rFonts w:ascii="Arial" w:eastAsia="Arial" w:hAnsi="Arial" w:cs="Arial"/>
                          <w:b/>
                          <w:color w:val="C00000"/>
                          <w:sz w:val="24"/>
                        </w:rPr>
                      </w:pPr>
                    </w:p>
                    <w:p w14:paraId="07FE04C9" w14:textId="583FB5A4" w:rsidR="005C67AD" w:rsidRDefault="003D29C9">
                      <w:pPr>
                        <w:spacing w:after="0" w:line="360" w:lineRule="auto"/>
                        <w:ind w:left="720" w:firstLine="360"/>
                        <w:textDirection w:val="btLr"/>
                      </w:pPr>
                      <w:r>
                        <w:rPr>
                          <w:rFonts w:ascii="Arial" w:eastAsia="Arial" w:hAnsi="Arial" w:cs="Arial"/>
                          <w:b/>
                          <w:color w:val="C00000"/>
                          <w:sz w:val="24"/>
                        </w:rPr>
                        <w:t xml:space="preserve">Group discussion on the results of the entry assessment </w:t>
                      </w:r>
                    </w:p>
                    <w:p w14:paraId="370A42D3" w14:textId="368694D6" w:rsidR="005C67AD" w:rsidRDefault="005C67AD">
                      <w:pPr>
                        <w:spacing w:after="0" w:line="360" w:lineRule="auto"/>
                        <w:ind w:left="720" w:firstLine="360"/>
                        <w:textDirection w:val="btLr"/>
                      </w:pPr>
                    </w:p>
                    <w:p w14:paraId="1FB26E26" w14:textId="77777777" w:rsidR="005C67AD" w:rsidRDefault="005C67AD">
                      <w:pPr>
                        <w:jc w:val="center"/>
                        <w:textDirection w:val="btLr"/>
                      </w:pPr>
                    </w:p>
                  </w:txbxContent>
                </v:textbox>
                <w10:wrap anchorx="margin"/>
              </v:roundrect>
            </w:pict>
          </mc:Fallback>
        </mc:AlternateContent>
      </w:r>
    </w:p>
    <w:p w14:paraId="0000001D" w14:textId="77777777" w:rsidR="005C67AD" w:rsidRDefault="005C67AD">
      <w:pPr>
        <w:pBdr>
          <w:top w:val="nil"/>
          <w:left w:val="nil"/>
          <w:bottom w:val="nil"/>
          <w:right w:val="nil"/>
          <w:between w:val="nil"/>
        </w:pBdr>
        <w:spacing w:after="0" w:line="360" w:lineRule="auto"/>
        <w:jc w:val="both"/>
        <w:rPr>
          <w:color w:val="000000"/>
          <w:sz w:val="24"/>
          <w:szCs w:val="24"/>
        </w:rPr>
      </w:pPr>
    </w:p>
    <w:p w14:paraId="0000001E" w14:textId="77777777" w:rsidR="005C67AD" w:rsidRDefault="005C67AD">
      <w:pPr>
        <w:pBdr>
          <w:top w:val="nil"/>
          <w:left w:val="nil"/>
          <w:bottom w:val="nil"/>
          <w:right w:val="nil"/>
          <w:between w:val="nil"/>
        </w:pBdr>
        <w:spacing w:after="0" w:line="360" w:lineRule="auto"/>
        <w:jc w:val="both"/>
        <w:rPr>
          <w:color w:val="000000"/>
          <w:sz w:val="24"/>
          <w:szCs w:val="24"/>
        </w:rPr>
      </w:pPr>
    </w:p>
    <w:p w14:paraId="0000001F" w14:textId="77777777" w:rsidR="005C67AD" w:rsidRDefault="005C67AD">
      <w:pPr>
        <w:pBdr>
          <w:top w:val="nil"/>
          <w:left w:val="nil"/>
          <w:bottom w:val="nil"/>
          <w:right w:val="nil"/>
          <w:between w:val="nil"/>
        </w:pBdr>
        <w:spacing w:after="0" w:line="360" w:lineRule="auto"/>
        <w:jc w:val="both"/>
        <w:rPr>
          <w:color w:val="000000"/>
          <w:sz w:val="24"/>
          <w:szCs w:val="24"/>
        </w:rPr>
      </w:pPr>
    </w:p>
    <w:p w14:paraId="00000020" w14:textId="77777777" w:rsidR="005C67AD" w:rsidRDefault="005C67AD">
      <w:pPr>
        <w:pBdr>
          <w:top w:val="nil"/>
          <w:left w:val="nil"/>
          <w:bottom w:val="nil"/>
          <w:right w:val="nil"/>
          <w:between w:val="nil"/>
        </w:pBdr>
        <w:spacing w:after="0" w:line="360" w:lineRule="auto"/>
        <w:jc w:val="both"/>
        <w:rPr>
          <w:color w:val="000000"/>
          <w:sz w:val="24"/>
          <w:szCs w:val="24"/>
        </w:rPr>
      </w:pPr>
    </w:p>
    <w:p w14:paraId="00000021" w14:textId="77777777" w:rsidR="005C67AD" w:rsidRDefault="00000000">
      <w:pPr>
        <w:pBdr>
          <w:top w:val="nil"/>
          <w:left w:val="nil"/>
          <w:bottom w:val="nil"/>
          <w:right w:val="nil"/>
          <w:between w:val="nil"/>
        </w:pBdr>
        <w:spacing w:after="0"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Words of the year and new realities</w:t>
      </w:r>
    </w:p>
    <w:p w14:paraId="00000022" w14:textId="77777777" w:rsidR="005C67AD" w:rsidRDefault="00000000">
      <w:pPr>
        <w:pBdr>
          <w:top w:val="nil"/>
          <w:left w:val="nil"/>
          <w:bottom w:val="nil"/>
          <w:right w:val="nil"/>
          <w:between w:val="nil"/>
        </w:pBdr>
        <w:spacing w:after="0" w:line="360" w:lineRule="auto"/>
        <w:jc w:val="both"/>
        <w:rPr>
          <w:color w:val="000000"/>
          <w:sz w:val="24"/>
          <w:szCs w:val="24"/>
        </w:rPr>
      </w:pPr>
      <w:r>
        <w:rPr>
          <w:color w:val="000000"/>
          <w:sz w:val="24"/>
          <w:szCs w:val="24"/>
        </w:rPr>
        <w:t xml:space="preserve">Post-truth was named International Word of the Year by Oxford Dictionaries in 2016. Also in 2016, “gaslight” was named “most useful word” of the year by the American Dialect Society. In 2018, it was declared one of the “Words of the Year” by Oxford Dictionaries – a choice that was repeated in 2022 by the American dictionary Merriam-Webster after online searches for the term increased by 1740 per cent compared to the previous year: “In this age of misinformation – of ‘fake news', conspiracy theories, Twitter trolls and deepfakes – gaslighting has emerged as a word for our times”. The parallel rise of the terms is no coincidence, as both terms describe closely related phenomena. </w:t>
      </w:r>
    </w:p>
    <w:p w14:paraId="00000023" w14:textId="77777777" w:rsidR="005C67AD" w:rsidRDefault="00000000">
      <w:pPr>
        <w:pBdr>
          <w:top w:val="nil"/>
          <w:left w:val="nil"/>
          <w:bottom w:val="nil"/>
          <w:right w:val="nil"/>
          <w:between w:val="nil"/>
        </w:pBdr>
        <w:spacing w:after="0" w:line="360" w:lineRule="auto"/>
        <w:jc w:val="both"/>
        <w:rPr>
          <w:color w:val="000000"/>
          <w:sz w:val="24"/>
          <w:szCs w:val="24"/>
        </w:rPr>
      </w:pPr>
      <w:r>
        <w:rPr>
          <w:color w:val="000000"/>
          <w:sz w:val="24"/>
          <w:szCs w:val="24"/>
        </w:rPr>
        <w:t xml:space="preserve">As </w:t>
      </w:r>
      <w:proofErr w:type="spellStart"/>
      <w:r>
        <w:rPr>
          <w:color w:val="000000"/>
          <w:sz w:val="24"/>
          <w:szCs w:val="24"/>
        </w:rPr>
        <w:t>Rietdijk</w:t>
      </w:r>
      <w:proofErr w:type="spellEnd"/>
      <w:r>
        <w:rPr>
          <w:color w:val="000000"/>
          <w:sz w:val="24"/>
          <w:szCs w:val="24"/>
        </w:rPr>
        <w:t xml:space="preserve"> (2021) notes, politicians can undermine citizens' self-confidence by introducing counterarguments, discrediting critics and denying facts", which makes this activity “very similar to gaslighting.”</w:t>
      </w:r>
      <w:sdt>
        <w:sdtPr>
          <w:tag w:val="goog_rdk_1"/>
          <w:id w:val="-1227562756"/>
        </w:sdtPr>
        <w:sdtContent/>
      </w:sdt>
      <w:sdt>
        <w:sdtPr>
          <w:tag w:val="goog_rdk_2"/>
          <w:id w:val="-1031685297"/>
        </w:sdtPr>
        <w:sdtContent/>
      </w:sdt>
      <w:r>
        <w:rPr>
          <w:color w:val="000000"/>
          <w:sz w:val="24"/>
          <w:szCs w:val="24"/>
        </w:rPr>
        <w:t xml:space="preserve"> Shane et al. (2022) also compare the relationship of politicians to their public to the romantic relationships of abusers to their partners and calls for understanding that disinformation in elections and “post-truth” deception is common in both mainstream and conspiracy-rich online spaces. The similarities don't end there. Both phenomena undermine, firstly, our trust in ourselves as subjects of knowledge and, secondly, our epistemic autonomy. In both phenomena, truth becomes secondary, while feelings and personal beliefs become more important than the facts themselves. Against this backdrop, gaslighting must be understood both as a form of epistemic power that </w:t>
      </w:r>
      <w:r>
        <w:rPr>
          <w:color w:val="000000"/>
          <w:sz w:val="24"/>
          <w:szCs w:val="24"/>
        </w:rPr>
        <w:lastRenderedPageBreak/>
        <w:t>occurs at micro – and macro levels to disempower already marginalized viewpoints through the loss of epistemic self-trust, and as a contemporary metaphor for post-truth politics (Shane, 2022).</w:t>
      </w:r>
    </w:p>
    <w:p w14:paraId="00000024" w14:textId="77777777" w:rsidR="005C67AD" w:rsidRDefault="005C67AD">
      <w:pPr>
        <w:pBdr>
          <w:top w:val="nil"/>
          <w:left w:val="nil"/>
          <w:bottom w:val="nil"/>
          <w:right w:val="nil"/>
          <w:between w:val="nil"/>
        </w:pBdr>
        <w:spacing w:after="0" w:line="360" w:lineRule="auto"/>
        <w:jc w:val="both"/>
        <w:rPr>
          <w:color w:val="000000"/>
          <w:sz w:val="24"/>
          <w:szCs w:val="24"/>
        </w:rPr>
      </w:pPr>
    </w:p>
    <w:p w14:paraId="00000025" w14:textId="77777777" w:rsidR="005C67AD" w:rsidRDefault="00000000">
      <w:pPr>
        <w:pStyle w:val="Subtitle"/>
        <w:rPr>
          <w:b/>
          <w:sz w:val="24"/>
          <w:szCs w:val="24"/>
        </w:rPr>
      </w:pPr>
      <w:r>
        <w:rPr>
          <w:b/>
          <w:sz w:val="24"/>
          <w:szCs w:val="24"/>
        </w:rPr>
        <w:t xml:space="preserve">Post-truth </w:t>
      </w:r>
    </w:p>
    <w:p w14:paraId="00000026" w14:textId="77777777" w:rsidR="005C67AD" w:rsidRDefault="00000000">
      <w:pPr>
        <w:pBdr>
          <w:top w:val="nil"/>
          <w:left w:val="nil"/>
          <w:bottom w:val="nil"/>
          <w:right w:val="nil"/>
          <w:between w:val="nil"/>
        </w:pBdr>
        <w:spacing w:after="0" w:line="360" w:lineRule="auto"/>
        <w:jc w:val="both"/>
        <w:rPr>
          <w:color w:val="000000"/>
          <w:sz w:val="24"/>
          <w:szCs w:val="24"/>
        </w:rPr>
      </w:pPr>
      <w:r>
        <w:rPr>
          <w:color w:val="000000"/>
          <w:sz w:val="24"/>
          <w:szCs w:val="24"/>
        </w:rPr>
        <w:t xml:space="preserve"> The term "post-truth" is a term that describes circumstances in which objective facts have less influence on shaping public opinion than emotional appeals and personal beliefs. It has gained prominence following events like the Brexit vote and the US presidential election. </w:t>
      </w:r>
      <w:sdt>
        <w:sdtPr>
          <w:tag w:val="goog_rdk_3"/>
          <w:id w:val="1544190173"/>
        </w:sdtPr>
        <w:sdtContent/>
      </w:sdt>
      <w:proofErr w:type="spellStart"/>
      <w:r>
        <w:rPr>
          <w:color w:val="000000"/>
          <w:sz w:val="24"/>
          <w:szCs w:val="24"/>
        </w:rPr>
        <w:t>Jandric</w:t>
      </w:r>
      <w:proofErr w:type="spellEnd"/>
      <w:r>
        <w:rPr>
          <w:color w:val="000000"/>
          <w:sz w:val="24"/>
          <w:szCs w:val="24"/>
        </w:rPr>
        <w:t xml:space="preserve"> (2018) was one of the first to describe post-truth as an ambiguous space between truth and lies, reason and instinct. Post-truth is also described as a narrative disorder (Foroughi et al. 2019), a discourse, a body of knowledge practice, a threat to democracy, a populist strategy and a propaganda tool where personal assertions or emotional appeals can override objective facts, leading to polarization, skepticism and distrust of institutions, including education (Mohammed et al. 2024).</w:t>
      </w:r>
    </w:p>
    <w:p w14:paraId="00000027" w14:textId="77777777" w:rsidR="005C67AD" w:rsidRDefault="00000000">
      <w:pPr>
        <w:pBdr>
          <w:top w:val="nil"/>
          <w:left w:val="nil"/>
          <w:bottom w:val="nil"/>
          <w:right w:val="nil"/>
          <w:between w:val="nil"/>
        </w:pBdr>
        <w:spacing w:after="0" w:line="360" w:lineRule="auto"/>
        <w:jc w:val="both"/>
        <w:rPr>
          <w:color w:val="000000"/>
          <w:sz w:val="24"/>
          <w:szCs w:val="24"/>
        </w:rPr>
      </w:pPr>
      <w:r>
        <w:rPr>
          <w:color w:val="000000"/>
          <w:sz w:val="24"/>
          <w:szCs w:val="24"/>
        </w:rPr>
        <w:t>In sum, post-truth can be understood as a socio-political phenomenon in which objective factual truth takes a back seat in favor of emotional and personal belief-based narratives that are often manipulated for political or ideological purposes. In relation to media communication, the term is used to describe how the mass media manipulate public perceptions of truth by destabilizing scientific data, expertise and established sources of information in favor of alternative facts and misinformation, often used for political purposes (Foroughi et al. 2019; Mohammed et al. 2024).</w:t>
      </w:r>
    </w:p>
    <w:p w14:paraId="00000028" w14:textId="77777777" w:rsidR="005C67AD" w:rsidRDefault="00000000">
      <w:pPr>
        <w:pBdr>
          <w:top w:val="nil"/>
          <w:left w:val="nil"/>
          <w:bottom w:val="nil"/>
          <w:right w:val="nil"/>
          <w:between w:val="nil"/>
        </w:pBdr>
        <w:spacing w:after="0" w:line="360" w:lineRule="auto"/>
        <w:jc w:val="both"/>
        <w:rPr>
          <w:rFonts w:ascii="FreeSans" w:eastAsia="FreeSans" w:hAnsi="FreeSans" w:cs="FreeSans"/>
          <w:color w:val="000000"/>
          <w:sz w:val="36"/>
          <w:szCs w:val="36"/>
        </w:rPr>
      </w:pPr>
      <w:r>
        <w:rPr>
          <w:i/>
          <w:color w:val="000000"/>
          <w:sz w:val="24"/>
          <w:szCs w:val="24"/>
        </w:rPr>
        <w:t>The sociology of post-truth:</w:t>
      </w:r>
      <w:r>
        <w:rPr>
          <w:color w:val="000000"/>
          <w:sz w:val="24"/>
          <w:szCs w:val="24"/>
        </w:rPr>
        <w:t xml:space="preserve"> Post-truth is diagnosed as a multi-layered phenomenon due to epistemological changes, political and economic factors, technological advances, psychological tendencies and power dynamics. They all contribute to a social environment in which objective facts often take a back seat in </w:t>
      </w:r>
      <w:proofErr w:type="spellStart"/>
      <w:r>
        <w:rPr>
          <w:color w:val="000000"/>
          <w:sz w:val="24"/>
          <w:szCs w:val="24"/>
        </w:rPr>
        <w:t>favour</w:t>
      </w:r>
      <w:proofErr w:type="spellEnd"/>
      <w:r>
        <w:rPr>
          <w:color w:val="000000"/>
          <w:sz w:val="24"/>
          <w:szCs w:val="24"/>
        </w:rPr>
        <w:t xml:space="preserve"> of emotional and ideological appeals. The exponential growth of the post-truth phenomenon is based on dwindling trust in governments and public institutions, especially </w:t>
      </w:r>
      <w:proofErr w:type="gramStart"/>
      <w:r>
        <w:rPr>
          <w:color w:val="000000"/>
          <w:sz w:val="24"/>
          <w:szCs w:val="24"/>
        </w:rPr>
        <w:t>due</w:t>
      </w:r>
      <w:proofErr w:type="gramEnd"/>
      <w:r>
        <w:rPr>
          <w:color w:val="000000"/>
          <w:sz w:val="24"/>
          <w:szCs w:val="24"/>
        </w:rPr>
        <w:t xml:space="preserve"> their prolonged difficulty </w:t>
      </w:r>
      <w:proofErr w:type="gramStart"/>
      <w:r>
        <w:rPr>
          <w:color w:val="000000"/>
          <w:sz w:val="24"/>
          <w:szCs w:val="24"/>
        </w:rPr>
        <w:t>to deal</w:t>
      </w:r>
      <w:proofErr w:type="gramEnd"/>
      <w:r>
        <w:rPr>
          <w:color w:val="000000"/>
          <w:sz w:val="24"/>
          <w:szCs w:val="24"/>
        </w:rPr>
        <w:t xml:space="preserve"> effectively with the multiple crises and protracted crises that have surfaced especially after the global financial crisis of 2008. This has led, among other things, to the erosion of </w:t>
      </w:r>
      <w:sdt>
        <w:sdtPr>
          <w:tag w:val="goog_rdk_4"/>
          <w:id w:val="34439369"/>
        </w:sdtPr>
        <w:sdtContent/>
      </w:sdt>
      <w:r>
        <w:rPr>
          <w:color w:val="000000"/>
          <w:sz w:val="24"/>
          <w:szCs w:val="24"/>
        </w:rPr>
        <w:t xml:space="preserve">people’s trust in public institutions, politicians, experts and the media, which has created fertile ground for post-truth politics (Foroughi et al. 2019). </w:t>
      </w:r>
    </w:p>
    <w:p w14:paraId="00000029" w14:textId="77777777" w:rsidR="005C67AD" w:rsidRDefault="00000000">
      <w:pPr>
        <w:pBdr>
          <w:top w:val="nil"/>
          <w:left w:val="nil"/>
          <w:bottom w:val="nil"/>
          <w:right w:val="nil"/>
          <w:between w:val="nil"/>
        </w:pBdr>
        <w:spacing w:after="0" w:line="360" w:lineRule="auto"/>
        <w:jc w:val="both"/>
        <w:rPr>
          <w:color w:val="000000"/>
          <w:sz w:val="24"/>
          <w:szCs w:val="24"/>
        </w:rPr>
      </w:pPr>
      <w:r>
        <w:rPr>
          <w:color w:val="000000"/>
          <w:sz w:val="24"/>
          <w:szCs w:val="24"/>
        </w:rPr>
        <w:t xml:space="preserve">Indeed, the relevant literature highlights that post-truth ecologies emerge in contexts </w:t>
      </w:r>
      <w:proofErr w:type="spellStart"/>
      <w:r>
        <w:rPr>
          <w:color w:val="000000"/>
          <w:sz w:val="24"/>
          <w:szCs w:val="24"/>
        </w:rPr>
        <w:t>characterised</w:t>
      </w:r>
      <w:proofErr w:type="spellEnd"/>
      <w:r>
        <w:rPr>
          <w:color w:val="000000"/>
          <w:sz w:val="24"/>
          <w:szCs w:val="24"/>
        </w:rPr>
        <w:t xml:space="preserve"> by a decline in social capital and increased inequality (Lewandowsky et al. 2017), in times of societal crisis (Van </w:t>
      </w:r>
      <w:proofErr w:type="spellStart"/>
      <w:r>
        <w:rPr>
          <w:color w:val="000000"/>
          <w:sz w:val="24"/>
          <w:szCs w:val="24"/>
        </w:rPr>
        <w:t>Prooijen</w:t>
      </w:r>
      <w:proofErr w:type="spellEnd"/>
      <w:r>
        <w:rPr>
          <w:color w:val="000000"/>
          <w:sz w:val="24"/>
          <w:szCs w:val="24"/>
        </w:rPr>
        <w:t xml:space="preserve"> and Douglas, 2017) and in institutional environments </w:t>
      </w:r>
      <w:proofErr w:type="spellStart"/>
      <w:r>
        <w:rPr>
          <w:color w:val="000000"/>
          <w:sz w:val="24"/>
          <w:szCs w:val="24"/>
        </w:rPr>
        <w:t>characterised</w:t>
      </w:r>
      <w:proofErr w:type="spellEnd"/>
      <w:r>
        <w:rPr>
          <w:color w:val="000000"/>
          <w:sz w:val="24"/>
          <w:szCs w:val="24"/>
        </w:rPr>
        <w:t xml:space="preserve"> by mistrust (Fuller, 2018; Achterberg et al. 2017).  On the other hand, disinformation phenomena, one of the many manifestations of the post-truth phenomenon, have also been shown to spread in similar environments. We know that the dynamics of propagation are more pronounced for political fake news than for fake news of other categories (Vosoughi et al. 2018) and that disinformation thrives most in environments already riven by internal conflict, mistrust and other divisions (Greene and Murphy, 2020).</w:t>
      </w:r>
    </w:p>
    <w:p w14:paraId="0000002A" w14:textId="77777777" w:rsidR="005C67AD" w:rsidRDefault="00000000">
      <w:pPr>
        <w:pBdr>
          <w:top w:val="nil"/>
          <w:left w:val="nil"/>
          <w:bottom w:val="nil"/>
          <w:right w:val="nil"/>
          <w:between w:val="nil"/>
        </w:pBdr>
        <w:spacing w:after="0" w:line="360" w:lineRule="auto"/>
        <w:jc w:val="both"/>
        <w:rPr>
          <w:rFonts w:ascii="FreeSans" w:eastAsia="FreeSans" w:hAnsi="FreeSans" w:cs="FreeSans"/>
          <w:color w:val="000000"/>
          <w:sz w:val="36"/>
          <w:szCs w:val="36"/>
        </w:rPr>
      </w:pPr>
      <w:r>
        <w:rPr>
          <w:i/>
          <w:color w:val="000000"/>
          <w:sz w:val="24"/>
          <w:szCs w:val="24"/>
        </w:rPr>
        <w:t>The virality of post-truth:</w:t>
      </w:r>
      <w:r>
        <w:rPr>
          <w:color w:val="000000"/>
          <w:sz w:val="24"/>
          <w:szCs w:val="24"/>
        </w:rPr>
        <w:t xml:space="preserve"> the exponential growth of digital technologies and post-</w:t>
      </w:r>
      <w:proofErr w:type="gramStart"/>
      <w:r>
        <w:rPr>
          <w:color w:val="000000"/>
          <w:sz w:val="24"/>
          <w:szCs w:val="24"/>
        </w:rPr>
        <w:t>truth  have</w:t>
      </w:r>
      <w:proofErr w:type="gramEnd"/>
      <w:r>
        <w:rPr>
          <w:color w:val="000000"/>
          <w:sz w:val="24"/>
          <w:szCs w:val="24"/>
        </w:rPr>
        <w:t xml:space="preserve"> created spaces where different narratives, including misinformation and conspiracy theories, compete for attention and blur the distinctions between information, theory and story (Foroughi et al. 2019).</w:t>
      </w:r>
    </w:p>
    <w:p w14:paraId="0000002B" w14:textId="77777777" w:rsidR="005C67AD" w:rsidRDefault="00000000">
      <w:pPr>
        <w:pBdr>
          <w:top w:val="nil"/>
          <w:left w:val="nil"/>
          <w:bottom w:val="nil"/>
          <w:right w:val="nil"/>
          <w:between w:val="nil"/>
        </w:pBdr>
        <w:spacing w:after="0" w:line="360" w:lineRule="auto"/>
        <w:jc w:val="both"/>
        <w:rPr>
          <w:rFonts w:ascii="FreeSans" w:eastAsia="FreeSans" w:hAnsi="FreeSans" w:cs="FreeSans"/>
          <w:color w:val="000000"/>
          <w:sz w:val="36"/>
          <w:szCs w:val="36"/>
        </w:rPr>
      </w:pPr>
      <w:r>
        <w:rPr>
          <w:i/>
          <w:color w:val="000000"/>
          <w:sz w:val="24"/>
          <w:szCs w:val="24"/>
        </w:rPr>
        <w:t>The psychological component of post-truth:</w:t>
      </w:r>
      <w:r>
        <w:rPr>
          <w:color w:val="000000"/>
          <w:sz w:val="24"/>
          <w:szCs w:val="24"/>
        </w:rPr>
        <w:t xml:space="preserve"> In addition to the technological component, the virality of the post-truth phenomenon is also rooted in people’s psychological need to exercise power. In fact, people’s psychological needs play a crucial role in the appeal of post-truth narratives. Cognitive biases such as confirmation bias, selective exposure and the backfire effect lead people to </w:t>
      </w:r>
      <w:proofErr w:type="spellStart"/>
      <w:r>
        <w:rPr>
          <w:color w:val="000000"/>
          <w:sz w:val="24"/>
          <w:szCs w:val="24"/>
        </w:rPr>
        <w:t>favour</w:t>
      </w:r>
      <w:proofErr w:type="spellEnd"/>
      <w:r>
        <w:rPr>
          <w:color w:val="000000"/>
          <w:sz w:val="24"/>
          <w:szCs w:val="24"/>
        </w:rPr>
        <w:t xml:space="preserve"> information that confirms pre-existing beliefs and dismiss contradictory evidence (Foroughi et al. 2019), because “an obvious hallmark of a post-truth world is that it allows people to choose their own reality, in which facts and objective evidence are trumped by existing beliefs and biases” (Lewandowsky and Van Der Linden, 2017). </w:t>
      </w:r>
    </w:p>
    <w:p w14:paraId="0000002C" w14:textId="77777777" w:rsidR="005C67AD" w:rsidRDefault="005C67AD">
      <w:pPr>
        <w:pStyle w:val="Subtitle"/>
        <w:rPr>
          <w:b/>
          <w:sz w:val="24"/>
          <w:szCs w:val="24"/>
        </w:rPr>
      </w:pPr>
    </w:p>
    <w:p w14:paraId="0000002D" w14:textId="77777777" w:rsidR="005C67AD" w:rsidRDefault="00000000">
      <w:pPr>
        <w:pStyle w:val="Subtitle"/>
        <w:rPr>
          <w:b/>
          <w:sz w:val="24"/>
          <w:szCs w:val="24"/>
        </w:rPr>
      </w:pPr>
      <w:r>
        <w:rPr>
          <w:b/>
          <w:sz w:val="24"/>
          <w:szCs w:val="24"/>
        </w:rPr>
        <w:t>Gaslighting</w:t>
      </w:r>
    </w:p>
    <w:p w14:paraId="0000002E" w14:textId="77777777" w:rsidR="005C67AD" w:rsidRDefault="00000000">
      <w:pPr>
        <w:pBdr>
          <w:top w:val="nil"/>
          <w:left w:val="nil"/>
          <w:bottom w:val="nil"/>
          <w:right w:val="nil"/>
          <w:between w:val="nil"/>
        </w:pBdr>
        <w:spacing w:after="0" w:line="360" w:lineRule="auto"/>
        <w:jc w:val="both"/>
        <w:rPr>
          <w:rFonts w:ascii="FreeSans" w:eastAsia="FreeSans" w:hAnsi="FreeSans" w:cs="FreeSans"/>
          <w:color w:val="000000"/>
          <w:sz w:val="36"/>
          <w:szCs w:val="36"/>
        </w:rPr>
      </w:pPr>
      <w:r>
        <w:rPr>
          <w:color w:val="000000"/>
          <w:sz w:val="24"/>
          <w:szCs w:val="24"/>
        </w:rPr>
        <w:t xml:space="preserve">Gaslighting is a form of psychological manipulation that aims to </w:t>
      </w:r>
      <w:proofErr w:type="gramStart"/>
      <w:r>
        <w:rPr>
          <w:color w:val="000000"/>
          <w:sz w:val="24"/>
          <w:szCs w:val="24"/>
        </w:rPr>
        <w:t>creating</w:t>
      </w:r>
      <w:proofErr w:type="gramEnd"/>
      <w:r>
        <w:rPr>
          <w:color w:val="000000"/>
          <w:sz w:val="24"/>
          <w:szCs w:val="24"/>
        </w:rPr>
        <w:t xml:space="preserve"> self-doubt. The term “gaslighting" first appeared in the 1938 play Gas Light by Patrick Hamilton and was further expanded by the 1940 film adaptation by Dickinson (about a man’s deliberate </w:t>
      </w:r>
      <w:r>
        <w:rPr>
          <w:color w:val="000000"/>
          <w:sz w:val="24"/>
          <w:szCs w:val="24"/>
        </w:rPr>
        <w:lastRenderedPageBreak/>
        <w:t xml:space="preserve">attempts to manipulate his wife into believing she is going mad: a) </w:t>
      </w:r>
      <w:hyperlink r:id="rId8">
        <w:r>
          <w:rPr>
            <w:color w:val="467886"/>
            <w:sz w:val="24"/>
            <w:szCs w:val="24"/>
            <w:u w:val="single"/>
          </w:rPr>
          <w:t>https://www.youtube.com/watch?v=_viiAAoLikM</w:t>
        </w:r>
      </w:hyperlink>
      <w:r>
        <w:rPr>
          <w:color w:val="000000"/>
          <w:sz w:val="24"/>
          <w:szCs w:val="24"/>
        </w:rPr>
        <w:t xml:space="preserve"> - Full film with English subtitles, b) </w:t>
      </w:r>
      <w:hyperlink r:id="rId9">
        <w:r>
          <w:rPr>
            <w:color w:val="467886"/>
            <w:sz w:val="24"/>
            <w:szCs w:val="24"/>
            <w:u w:val="single"/>
          </w:rPr>
          <w:t>https://www.youtube.com/watch?v=sDw72ySrkks</w:t>
        </w:r>
      </w:hyperlink>
      <w:r>
        <w:rPr>
          <w:color w:val="000000"/>
          <w:sz w:val="24"/>
          <w:szCs w:val="24"/>
        </w:rPr>
        <w:t xml:space="preserve"> - audio play in Greek). The plot of the film, starring Charles Boyer and Ingrid Bergman, revolves around a male protagonist who wants to make his wife believe that she has gone mad. In fact, the film was named after one of </w:t>
      </w:r>
      <w:proofErr w:type="gramStart"/>
      <w:r>
        <w:rPr>
          <w:color w:val="000000"/>
          <w:sz w:val="24"/>
          <w:szCs w:val="24"/>
        </w:rPr>
        <w:t>the man’s</w:t>
      </w:r>
      <w:proofErr w:type="gramEnd"/>
      <w:r>
        <w:rPr>
          <w:color w:val="000000"/>
          <w:sz w:val="24"/>
          <w:szCs w:val="24"/>
        </w:rPr>
        <w:t xml:space="preserve"> main methods of manipulation, namely dimming the gaslight in the house, which he uses to undermine his wife’s ability to trust her own perceptions and believe that she is imagining things that are going on. Since its first appearance, the term gaslighting has been used to describe manipulative tactics aimed at gaining power and control by undermining the victim's cognitive confidence, and thus their identity, by creating increasing doubts about their own memories, thoughts and perceptions over an extended </w:t>
      </w:r>
      <w:proofErr w:type="gramStart"/>
      <w:r>
        <w:rPr>
          <w:color w:val="000000"/>
          <w:sz w:val="24"/>
          <w:szCs w:val="24"/>
        </w:rPr>
        <w:t>period of time</w:t>
      </w:r>
      <w:proofErr w:type="gramEnd"/>
      <w:r>
        <w:rPr>
          <w:color w:val="000000"/>
          <w:sz w:val="24"/>
          <w:szCs w:val="24"/>
        </w:rPr>
        <w:t xml:space="preserve">. </w:t>
      </w:r>
    </w:p>
    <w:p w14:paraId="0000002F" w14:textId="77777777" w:rsidR="005C67AD" w:rsidRDefault="005C67AD">
      <w:pPr>
        <w:pBdr>
          <w:top w:val="nil"/>
          <w:left w:val="nil"/>
          <w:bottom w:val="nil"/>
          <w:right w:val="nil"/>
          <w:between w:val="nil"/>
        </w:pBdr>
        <w:spacing w:after="0" w:line="360" w:lineRule="auto"/>
        <w:jc w:val="both"/>
        <w:rPr>
          <w:color w:val="000000"/>
          <w:sz w:val="24"/>
          <w:szCs w:val="24"/>
        </w:rPr>
      </w:pPr>
    </w:p>
    <w:p w14:paraId="00000030" w14:textId="77777777" w:rsidR="005C67AD" w:rsidRDefault="00000000">
      <w:pPr>
        <w:pBdr>
          <w:top w:val="nil"/>
          <w:left w:val="nil"/>
          <w:bottom w:val="nil"/>
          <w:right w:val="nil"/>
          <w:between w:val="nil"/>
        </w:pBdr>
        <w:spacing w:after="0"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 xml:space="preserve">Disinformation: the political weaponization of gaslighting </w:t>
      </w:r>
    </w:p>
    <w:p w14:paraId="00000031" w14:textId="77777777" w:rsidR="005C67AD" w:rsidRDefault="00000000">
      <w:pPr>
        <w:pBdr>
          <w:top w:val="nil"/>
          <w:left w:val="nil"/>
          <w:bottom w:val="nil"/>
          <w:right w:val="nil"/>
          <w:between w:val="nil"/>
        </w:pBdr>
        <w:spacing w:after="0" w:line="360" w:lineRule="auto"/>
        <w:jc w:val="both"/>
        <w:rPr>
          <w:color w:val="000000"/>
          <w:sz w:val="24"/>
          <w:szCs w:val="24"/>
        </w:rPr>
      </w:pPr>
      <w:r>
        <w:rPr>
          <w:color w:val="000000"/>
          <w:sz w:val="24"/>
          <w:szCs w:val="24"/>
        </w:rPr>
        <w:t xml:space="preserve">The </w:t>
      </w:r>
      <w:proofErr w:type="spellStart"/>
      <w:r>
        <w:rPr>
          <w:color w:val="000000"/>
          <w:sz w:val="24"/>
          <w:szCs w:val="24"/>
        </w:rPr>
        <w:t>weaponisation</w:t>
      </w:r>
      <w:proofErr w:type="spellEnd"/>
      <w:r>
        <w:rPr>
          <w:color w:val="000000"/>
          <w:sz w:val="24"/>
          <w:szCs w:val="24"/>
        </w:rPr>
        <w:t xml:space="preserve"> of gaslighting in politics is the reaction of politicians to the loss of relational and political power. This builds on Stern’s (2007) argument that “political gaslighting is the collective cousin of intimate betrayal” that seeks to assert control through the imposition of narratives. “While interpersonal gaslighting distorts an individual’s sense of self and truth, political gaslighting seeks to distort or rewrite the shared reality of a population. It is not just a tactic – it is a strategy of control. The psychological mechanism is the same: deny, deflect, distort” and “the goal is </w:t>
      </w:r>
      <w:proofErr w:type="spellStart"/>
      <w:r>
        <w:rPr>
          <w:color w:val="000000"/>
          <w:sz w:val="24"/>
          <w:szCs w:val="24"/>
        </w:rPr>
        <w:t>destabilisation</w:t>
      </w:r>
      <w:proofErr w:type="spellEnd"/>
      <w:r>
        <w:rPr>
          <w:color w:val="000000"/>
          <w:sz w:val="24"/>
          <w:szCs w:val="24"/>
        </w:rPr>
        <w:t xml:space="preserve">, not persuasion”. Indeed, gaslighting uses the deceptive and manipulative use of information with the aim of </w:t>
      </w:r>
      <w:proofErr w:type="spellStart"/>
      <w:r>
        <w:rPr>
          <w:color w:val="000000"/>
          <w:sz w:val="24"/>
          <w:szCs w:val="24"/>
        </w:rPr>
        <w:t>destabilising</w:t>
      </w:r>
      <w:proofErr w:type="spellEnd"/>
      <w:r>
        <w:rPr>
          <w:color w:val="000000"/>
          <w:sz w:val="24"/>
          <w:szCs w:val="24"/>
        </w:rPr>
        <w:t xml:space="preserve"> and unsettling public opinion on political issues. It creates false narratives through the power of messaging and undermines the sense of reality of people who support a contrary idea or question the perpetrator’s narrative from the outset (Latif, 2020). In the same vein, </w:t>
      </w:r>
      <w:proofErr w:type="spellStart"/>
      <w:r>
        <w:rPr>
          <w:color w:val="000000"/>
          <w:sz w:val="24"/>
          <w:szCs w:val="24"/>
        </w:rPr>
        <w:t>Rietdijk</w:t>
      </w:r>
      <w:proofErr w:type="spellEnd"/>
      <w:r>
        <w:rPr>
          <w:color w:val="000000"/>
          <w:sz w:val="24"/>
          <w:szCs w:val="24"/>
        </w:rPr>
        <w:t xml:space="preserve"> (2024) also claims that political gaslighting, unlike propaganda, does not aim to persuade people or change their </w:t>
      </w:r>
      <w:proofErr w:type="spellStart"/>
      <w:r>
        <w:rPr>
          <w:color w:val="000000"/>
          <w:sz w:val="24"/>
          <w:szCs w:val="24"/>
        </w:rPr>
        <w:t>behaviour</w:t>
      </w:r>
      <w:proofErr w:type="spellEnd"/>
      <w:r>
        <w:rPr>
          <w:color w:val="000000"/>
          <w:sz w:val="24"/>
          <w:szCs w:val="24"/>
        </w:rPr>
        <w:t>, but to overwhelm and disorient them by making them “much less likely to act (express criticism, resist)”.</w:t>
      </w:r>
    </w:p>
    <w:p w14:paraId="00000032" w14:textId="77777777" w:rsidR="005C67AD" w:rsidRDefault="00000000">
      <w:pPr>
        <w:pBdr>
          <w:top w:val="nil"/>
          <w:left w:val="nil"/>
          <w:bottom w:val="nil"/>
          <w:right w:val="nil"/>
          <w:between w:val="nil"/>
        </w:pBdr>
        <w:spacing w:after="0" w:line="360" w:lineRule="auto"/>
        <w:jc w:val="both"/>
        <w:rPr>
          <w:rFonts w:ascii="FreeSans" w:eastAsia="FreeSans" w:hAnsi="FreeSans" w:cs="FreeSans"/>
          <w:color w:val="000000"/>
          <w:sz w:val="36"/>
          <w:szCs w:val="36"/>
        </w:rPr>
      </w:pPr>
      <w:r>
        <w:rPr>
          <w:i/>
          <w:color w:val="000000"/>
          <w:sz w:val="24"/>
          <w:szCs w:val="24"/>
        </w:rPr>
        <w:lastRenderedPageBreak/>
        <w:t xml:space="preserve">The sociology of gaslighting in politics: </w:t>
      </w:r>
      <w:r>
        <w:rPr>
          <w:color w:val="000000"/>
          <w:sz w:val="24"/>
          <w:szCs w:val="24"/>
        </w:rPr>
        <w:t xml:space="preserve">Gaslighting thrives in relationships where there is an imbalance of power - e.g. due to social status, gender, economic position or level of education — and where the dominant party seeks to maintain or gain control. Research shows that </w:t>
      </w:r>
      <w:proofErr w:type="spellStart"/>
      <w:r>
        <w:rPr>
          <w:color w:val="000000"/>
          <w:sz w:val="24"/>
          <w:szCs w:val="24"/>
        </w:rPr>
        <w:t>gaslighters</w:t>
      </w:r>
      <w:proofErr w:type="spellEnd"/>
      <w:r>
        <w:rPr>
          <w:color w:val="000000"/>
          <w:sz w:val="24"/>
          <w:szCs w:val="24"/>
        </w:rPr>
        <w:t xml:space="preserve"> often have social or institutional power, which they use as a weapon to manipulate victims who have less authority or credibility.</w:t>
      </w:r>
    </w:p>
    <w:p w14:paraId="00000033" w14:textId="77777777" w:rsidR="005C67AD" w:rsidRDefault="00000000">
      <w:pPr>
        <w:pBdr>
          <w:top w:val="nil"/>
          <w:left w:val="nil"/>
          <w:bottom w:val="nil"/>
          <w:right w:val="nil"/>
          <w:between w:val="nil"/>
        </w:pBdr>
        <w:spacing w:after="0" w:line="360" w:lineRule="auto"/>
        <w:jc w:val="both"/>
        <w:rPr>
          <w:color w:val="000000"/>
          <w:sz w:val="24"/>
          <w:szCs w:val="24"/>
        </w:rPr>
      </w:pPr>
      <w:r>
        <w:rPr>
          <w:color w:val="000000"/>
          <w:sz w:val="24"/>
          <w:szCs w:val="24"/>
        </w:rPr>
        <w:t xml:space="preserve">An imbalance of power and a problematic relationship with the truth, the main characteristics of political propaganda also seem to apply to political gaslighting. </w:t>
      </w:r>
      <w:proofErr w:type="spellStart"/>
      <w:r>
        <w:rPr>
          <w:color w:val="000000"/>
          <w:sz w:val="24"/>
          <w:szCs w:val="24"/>
        </w:rPr>
        <w:t>Rietdijkk</w:t>
      </w:r>
      <w:proofErr w:type="spellEnd"/>
      <w:r>
        <w:rPr>
          <w:color w:val="000000"/>
          <w:sz w:val="24"/>
          <w:szCs w:val="24"/>
        </w:rPr>
        <w:t xml:space="preserve"> (2024) underlines that there are groups for whom the risk of disinformation is greater due to the power imbalance: “People who are marginalized in society are also more vulnerable, both because they find themselves more in such asymmetric power relations and because they might have been socialized to be less confident and more humble/self-doubting (e.g. women, the very old/very young, disabled people, ethnic minorities).”</w:t>
      </w:r>
    </w:p>
    <w:p w14:paraId="00000034" w14:textId="77777777" w:rsidR="005C67AD" w:rsidRDefault="00000000">
      <w:pPr>
        <w:spacing w:after="120" w:line="360" w:lineRule="auto"/>
        <w:jc w:val="both"/>
      </w:pPr>
      <w:r>
        <w:rPr>
          <w:i/>
          <w:color w:val="000000"/>
          <w:sz w:val="24"/>
          <w:szCs w:val="24"/>
        </w:rPr>
        <w:t>Democracy and post-truth:</w:t>
      </w:r>
      <w:r>
        <w:rPr>
          <w:color w:val="000000"/>
          <w:sz w:val="24"/>
          <w:szCs w:val="24"/>
        </w:rPr>
        <w:t xml:space="preserve"> According to Foroughi et al. (2019), one of the biggest threats to the post-truth phenomenon is the </w:t>
      </w:r>
      <w:proofErr w:type="spellStart"/>
      <w:r>
        <w:rPr>
          <w:color w:val="000000"/>
          <w:sz w:val="24"/>
          <w:szCs w:val="24"/>
        </w:rPr>
        <w:t>normalisation</w:t>
      </w:r>
      <w:proofErr w:type="spellEnd"/>
      <w:r>
        <w:rPr>
          <w:color w:val="000000"/>
          <w:sz w:val="24"/>
          <w:szCs w:val="24"/>
        </w:rPr>
        <w:t xml:space="preserve"> of the idea that "everyone has their own truth" and that lies can be excused as alternative points of view. In this perspective, "fake news" or "alternative facts" are used to </w:t>
      </w:r>
      <w:proofErr w:type="spellStart"/>
      <w:r>
        <w:rPr>
          <w:color w:val="000000"/>
          <w:sz w:val="24"/>
          <w:szCs w:val="24"/>
        </w:rPr>
        <w:t>normalise</w:t>
      </w:r>
      <w:proofErr w:type="spellEnd"/>
      <w:r>
        <w:rPr>
          <w:color w:val="000000"/>
          <w:sz w:val="24"/>
          <w:szCs w:val="24"/>
        </w:rPr>
        <w:t xml:space="preserve"> empty or manipulative rhetoric that undermines expertise, encourages the viral spread of falsehoods and contributes to the fragmentation of public opinion. Post-truth is closely linked to populism, which exploits </w:t>
      </w:r>
      <w:proofErr w:type="spellStart"/>
      <w:r>
        <w:rPr>
          <w:color w:val="000000"/>
          <w:sz w:val="24"/>
          <w:szCs w:val="24"/>
        </w:rPr>
        <w:t>polarised</w:t>
      </w:r>
      <w:proofErr w:type="spellEnd"/>
      <w:r>
        <w:rPr>
          <w:color w:val="000000"/>
          <w:sz w:val="24"/>
          <w:szCs w:val="24"/>
        </w:rPr>
        <w:t xml:space="preserve"> communication and propaganda to oppose democratic principles such as debate, tolerance and solidarity (Mohammed et al. 2024). It disrupts the exchange of knowledge, undermines academic </w:t>
      </w:r>
      <w:proofErr w:type="spellStart"/>
      <w:r>
        <w:rPr>
          <w:color w:val="000000"/>
          <w:sz w:val="24"/>
          <w:szCs w:val="24"/>
        </w:rPr>
        <w:t>rigour</w:t>
      </w:r>
      <w:proofErr w:type="spellEnd"/>
      <w:r>
        <w:rPr>
          <w:color w:val="000000"/>
          <w:sz w:val="24"/>
          <w:szCs w:val="24"/>
        </w:rPr>
        <w:t xml:space="preserve"> and erodes trust in expertise and institutions. This requires critical pedagogical responses that go beyond information literacy </w:t>
      </w:r>
      <w:proofErr w:type="gramStart"/>
      <w:r>
        <w:rPr>
          <w:color w:val="000000"/>
          <w:sz w:val="24"/>
          <w:szCs w:val="24"/>
        </w:rPr>
        <w:t>and also</w:t>
      </w:r>
      <w:proofErr w:type="gramEnd"/>
      <w:r>
        <w:rPr>
          <w:color w:val="000000"/>
          <w:sz w:val="24"/>
          <w:szCs w:val="24"/>
        </w:rPr>
        <w:t xml:space="preserve"> </w:t>
      </w:r>
      <w:proofErr w:type="spellStart"/>
      <w:r>
        <w:rPr>
          <w:color w:val="000000"/>
          <w:sz w:val="24"/>
          <w:szCs w:val="24"/>
        </w:rPr>
        <w:t>scrutinise</w:t>
      </w:r>
      <w:proofErr w:type="spellEnd"/>
      <w:r>
        <w:rPr>
          <w:color w:val="000000"/>
          <w:sz w:val="24"/>
          <w:szCs w:val="24"/>
        </w:rPr>
        <w:t xml:space="preserve"> power relations and the politics of exclusion (Legg, 2024). The key difference with political </w:t>
      </w:r>
      <w:proofErr w:type="gramStart"/>
      <w:r>
        <w:rPr>
          <w:color w:val="000000"/>
          <w:sz w:val="24"/>
          <w:szCs w:val="24"/>
        </w:rPr>
        <w:t>gaslighting</w:t>
      </w:r>
      <w:proofErr w:type="gramEnd"/>
      <w:r>
        <w:rPr>
          <w:color w:val="000000"/>
          <w:sz w:val="24"/>
          <w:szCs w:val="24"/>
        </w:rPr>
        <w:t>, however, is that gaslighting is far more dangerous. While propaganda aims to persuade through emotional appeal and repetition, gaslighting undermines the ability of the grassroots to trust their own judgement – undermining the very tools that citizens use to make sense of the world and making it much less likely that they will act, express criticism and resist (</w:t>
      </w:r>
      <w:proofErr w:type="spellStart"/>
      <w:r>
        <w:rPr>
          <w:color w:val="000000"/>
          <w:sz w:val="24"/>
          <w:szCs w:val="24"/>
        </w:rPr>
        <w:t>Rietdijkk</w:t>
      </w:r>
      <w:proofErr w:type="spellEnd"/>
      <w:r>
        <w:rPr>
          <w:color w:val="000000"/>
          <w:sz w:val="24"/>
          <w:szCs w:val="24"/>
        </w:rPr>
        <w:t>, 2024).</w:t>
      </w:r>
      <w:r>
        <w:rPr>
          <w:noProof/>
        </w:rPr>
        <mc:AlternateContent>
          <mc:Choice Requires="wpg">
            <w:drawing>
              <wp:anchor distT="0" distB="0" distL="114300" distR="114300" simplePos="0" relativeHeight="251659264" behindDoc="0" locked="0" layoutInCell="1" hidden="0" allowOverlap="1">
                <wp:simplePos x="0" y="0"/>
                <wp:positionH relativeFrom="column">
                  <wp:posOffset>1</wp:posOffset>
                </wp:positionH>
                <wp:positionV relativeFrom="paragraph">
                  <wp:posOffset>4521200</wp:posOffset>
                </wp:positionV>
                <wp:extent cx="6454775" cy="879475"/>
                <wp:effectExtent l="0" t="0" r="0" b="0"/>
                <wp:wrapNone/>
                <wp:docPr id="2025443581" name="Rectangle: Rounded Corners 2025443581"/>
                <wp:cNvGraphicFramePr/>
                <a:graphic xmlns:a="http://schemas.openxmlformats.org/drawingml/2006/main">
                  <a:graphicData uri="http://schemas.microsoft.com/office/word/2010/wordprocessingShape">
                    <wps:wsp>
                      <wps:cNvSpPr/>
                      <wps:spPr>
                        <a:xfrm>
                          <a:off x="2123375" y="3345025"/>
                          <a:ext cx="6445250" cy="869950"/>
                        </a:xfrm>
                        <a:prstGeom prst="roundRect">
                          <a:avLst>
                            <a:gd name="adj" fmla="val 16667"/>
                          </a:avLst>
                        </a:prstGeom>
                        <a:gradFill>
                          <a:gsLst>
                            <a:gs pos="0">
                              <a:srgbClr val="9BADBE"/>
                            </a:gs>
                            <a:gs pos="50000">
                              <a:srgbClr val="8DA1B2"/>
                            </a:gs>
                            <a:gs pos="100000">
                              <a:srgbClr val="7893AA"/>
                            </a:gs>
                          </a:gsLst>
                          <a:lin ang="5400000" scaled="0"/>
                        </a:gradFill>
                        <a:ln w="9525" cap="flat" cmpd="sng">
                          <a:solidFill>
                            <a:srgbClr val="156082"/>
                          </a:solidFill>
                          <a:prstDash val="solid"/>
                          <a:miter lim="800000"/>
                          <a:headEnd type="none" w="sm" len="sm"/>
                          <a:tailEnd type="none" w="sm" len="sm"/>
                        </a:ln>
                      </wps:spPr>
                      <wps:txbx>
                        <w:txbxContent>
                          <w:p w14:paraId="78A10564" w14:textId="77777777" w:rsidR="005C67AD" w:rsidRDefault="00000000">
                            <w:pPr>
                              <w:spacing w:after="0" w:line="360" w:lineRule="auto"/>
                              <w:ind w:left="720" w:firstLine="360"/>
                              <w:textDirection w:val="btLr"/>
                            </w:pPr>
                            <w:r>
                              <w:rPr>
                                <w:rFonts w:ascii="Arial" w:eastAsia="Arial" w:hAnsi="Arial" w:cs="Arial"/>
                                <w:b/>
                                <w:color w:val="C00000"/>
                                <w:sz w:val="24"/>
                              </w:rPr>
                              <w:t>Group discussion</w:t>
                            </w:r>
                          </w:p>
                          <w:p w14:paraId="5458B8B3" w14:textId="77777777" w:rsidR="005C67AD" w:rsidRDefault="00000000">
                            <w:pPr>
                              <w:spacing w:after="0" w:line="360" w:lineRule="auto"/>
                              <w:ind w:left="720" w:firstLine="360"/>
                              <w:textDirection w:val="btLr"/>
                            </w:pPr>
                            <w:r>
                              <w:rPr>
                                <w:rFonts w:ascii="Arial" w:eastAsia="Arial" w:hAnsi="Arial" w:cs="Arial"/>
                                <w:b/>
                                <w:color w:val="000000"/>
                                <w:sz w:val="28"/>
                              </w:rPr>
                              <w:t>Have you noticed post-truth phenomena in your school?</w:t>
                            </w:r>
                          </w:p>
                          <w:p w14:paraId="6AB2901A" w14:textId="77777777" w:rsidR="005C67AD" w:rsidRDefault="005C67AD">
                            <w:pPr>
                              <w:spacing w:after="0" w:line="360" w:lineRule="auto"/>
                              <w:ind w:left="720"/>
                              <w:textDirection w:val="btLr"/>
                            </w:pPr>
                          </w:p>
                        </w:txbxContent>
                      </wps:txbx>
                      <wps:bodyPr spcFirstLastPara="1" wrap="square" lIns="91425" tIns="45700" rIns="91425" bIns="45700"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4521200</wp:posOffset>
                </wp:positionV>
                <wp:extent cx="6454775" cy="879475"/>
                <wp:effectExtent b="0" l="0" r="0" t="0"/>
                <wp:wrapNone/>
                <wp:docPr id="2025443581" name="image2.png"/>
                <a:graphic>
                  <a:graphicData uri="http://schemas.openxmlformats.org/drawingml/2006/picture">
                    <pic:pic>
                      <pic:nvPicPr>
                        <pic:cNvPr id="0" name="image2.png"/>
                        <pic:cNvPicPr preferRelativeResize="0"/>
                      </pic:nvPicPr>
                      <pic:blipFill>
                        <a:blip r:embed="rId10"/>
                        <a:srcRect/>
                        <a:stretch>
                          <a:fillRect/>
                        </a:stretch>
                      </pic:blipFill>
                      <pic:spPr>
                        <a:xfrm>
                          <a:off x="0" y="0"/>
                          <a:ext cx="6454775" cy="879475"/>
                        </a:xfrm>
                        <a:prstGeom prst="rect"/>
                        <a:ln/>
                      </pic:spPr>
                    </pic:pic>
                  </a:graphicData>
                </a:graphic>
              </wp:anchor>
            </w:drawing>
          </mc:Fallback>
        </mc:AlternateContent>
      </w:r>
    </w:p>
    <w:p w14:paraId="00000035" w14:textId="77777777" w:rsidR="005C67AD" w:rsidRDefault="005C67AD">
      <w:pPr>
        <w:spacing w:after="120" w:line="360" w:lineRule="auto"/>
        <w:jc w:val="both"/>
        <w:rPr>
          <w:b/>
          <w:sz w:val="24"/>
          <w:szCs w:val="24"/>
        </w:rPr>
      </w:pPr>
    </w:p>
    <w:p w14:paraId="00000038" w14:textId="77777777" w:rsidR="005C67AD" w:rsidRDefault="00000000">
      <w:pPr>
        <w:pStyle w:val="Subtitle"/>
        <w:rPr>
          <w:b/>
          <w:color w:val="000000"/>
        </w:rPr>
      </w:pPr>
      <w:r>
        <w:rPr>
          <w:b/>
          <w:color w:val="000000"/>
        </w:rPr>
        <w:lastRenderedPageBreak/>
        <w:t xml:space="preserve">Section 2. Gaslighting in education: a communication battlefield </w:t>
      </w:r>
    </w:p>
    <w:p w14:paraId="00000039" w14:textId="77777777" w:rsidR="005C67AD" w:rsidRDefault="00000000">
      <w:pPr>
        <w:spacing w:line="360" w:lineRule="auto"/>
        <w:jc w:val="both"/>
        <w:rPr>
          <w:sz w:val="24"/>
          <w:szCs w:val="24"/>
        </w:rPr>
      </w:pPr>
      <w:sdt>
        <w:sdtPr>
          <w:tag w:val="goog_rdk_5"/>
          <w:id w:val="-784681468"/>
        </w:sdtPr>
        <w:sdtContent/>
      </w:sdt>
      <w:r>
        <w:rPr>
          <w:sz w:val="24"/>
          <w:szCs w:val="24"/>
        </w:rPr>
        <w:t xml:space="preserve">The term “gaslighting" refers to the undermining of another person’s reality by denying facts, the environment or their feelings. The targets of gaslighting are manipulated into turning against their perceptions, their feelings and who they really are. The aim of the second part of this module is to discuss gaslighting phenomena that can occur both in society and the education system level </w:t>
      </w:r>
      <w:proofErr w:type="gramStart"/>
      <w:r>
        <w:rPr>
          <w:sz w:val="24"/>
          <w:szCs w:val="24"/>
        </w:rPr>
        <w:t>in order to</w:t>
      </w:r>
      <w:proofErr w:type="gramEnd"/>
      <w:r>
        <w:rPr>
          <w:sz w:val="24"/>
          <w:szCs w:val="24"/>
        </w:rPr>
        <w:t xml:space="preserve"> help school leaders recognize and identify gaslighting phenomena in their school.</w:t>
      </w:r>
    </w:p>
    <w:p w14:paraId="0000003A" w14:textId="77777777" w:rsidR="005C67AD" w:rsidRDefault="00000000">
      <w:pPr>
        <w:spacing w:line="360" w:lineRule="auto"/>
        <w:jc w:val="both"/>
        <w:rPr>
          <w:sz w:val="24"/>
          <w:szCs w:val="24"/>
        </w:rPr>
      </w:pPr>
      <w:r>
        <w:rPr>
          <w:noProof/>
        </w:rPr>
        <mc:AlternateContent>
          <mc:Choice Requires="wpg">
            <w:drawing>
              <wp:anchor distT="0" distB="0" distL="114300" distR="114300" simplePos="0" relativeHeight="251660288" behindDoc="0" locked="0" layoutInCell="1" hidden="0" allowOverlap="1">
                <wp:simplePos x="0" y="0"/>
                <wp:positionH relativeFrom="column">
                  <wp:posOffset>25401</wp:posOffset>
                </wp:positionH>
                <wp:positionV relativeFrom="paragraph">
                  <wp:posOffset>0</wp:posOffset>
                </wp:positionV>
                <wp:extent cx="6048375" cy="1298575"/>
                <wp:effectExtent l="0" t="0" r="0" b="0"/>
                <wp:wrapNone/>
                <wp:docPr id="2025443580" name="Rectangle: Rounded Corners 2025443580"/>
                <wp:cNvGraphicFramePr/>
                <a:graphic xmlns:a="http://schemas.openxmlformats.org/drawingml/2006/main">
                  <a:graphicData uri="http://schemas.microsoft.com/office/word/2010/wordprocessingShape">
                    <wps:wsp>
                      <wps:cNvSpPr/>
                      <wps:spPr>
                        <a:xfrm>
                          <a:off x="2326575" y="3135475"/>
                          <a:ext cx="6038850" cy="1289050"/>
                        </a:xfrm>
                        <a:prstGeom prst="roundRect">
                          <a:avLst>
                            <a:gd name="adj" fmla="val 16667"/>
                          </a:avLst>
                        </a:prstGeom>
                        <a:gradFill>
                          <a:gsLst>
                            <a:gs pos="0">
                              <a:srgbClr val="9BB29C"/>
                            </a:gs>
                            <a:gs pos="50000">
                              <a:srgbClr val="8EA78F"/>
                            </a:gs>
                            <a:gs pos="100000">
                              <a:srgbClr val="799A7B"/>
                            </a:gs>
                          </a:gsLst>
                          <a:lin ang="5400000" scaled="0"/>
                        </a:gradFill>
                        <a:ln w="9525" cap="flat" cmpd="sng">
                          <a:solidFill>
                            <a:schemeClr val="accent3"/>
                          </a:solidFill>
                          <a:prstDash val="solid"/>
                          <a:miter lim="800000"/>
                          <a:headEnd type="none" w="sm" len="sm"/>
                          <a:tailEnd type="none" w="sm" len="sm"/>
                        </a:ln>
                      </wps:spPr>
                      <wps:txbx>
                        <w:txbxContent>
                          <w:p w14:paraId="4C864B70" w14:textId="77777777" w:rsidR="005C67AD" w:rsidRDefault="00000000">
                            <w:pPr>
                              <w:spacing w:after="0" w:line="360" w:lineRule="auto"/>
                              <w:ind w:left="720" w:firstLine="360"/>
                              <w:textDirection w:val="btLr"/>
                            </w:pPr>
                            <w:r>
                              <w:rPr>
                                <w:rFonts w:ascii="Arial" w:eastAsia="Arial" w:hAnsi="Arial" w:cs="Arial"/>
                                <w:b/>
                                <w:color w:val="C00000"/>
                                <w:sz w:val="24"/>
                              </w:rPr>
                              <w:t>Group discussion</w:t>
                            </w:r>
                          </w:p>
                          <w:p w14:paraId="5708F23C" w14:textId="77777777" w:rsidR="005C67AD" w:rsidRDefault="00000000">
                            <w:pPr>
                              <w:spacing w:after="0" w:line="360" w:lineRule="auto"/>
                              <w:ind w:left="720" w:firstLine="360"/>
                              <w:textDirection w:val="btLr"/>
                            </w:pPr>
                            <w:r>
                              <w:rPr>
                                <w:rFonts w:ascii="Arial" w:eastAsia="Arial" w:hAnsi="Arial" w:cs="Arial"/>
                                <w:b/>
                                <w:color w:val="000000"/>
                                <w:sz w:val="24"/>
                              </w:rPr>
                              <w:t>Are there phenomena of gaslighting at your school?</w:t>
                            </w:r>
                          </w:p>
                          <w:p w14:paraId="0D41CCE1" w14:textId="77777777" w:rsidR="005C67AD" w:rsidRDefault="00000000">
                            <w:pPr>
                              <w:spacing w:after="0" w:line="360" w:lineRule="auto"/>
                              <w:ind w:left="720" w:firstLine="360"/>
                              <w:textDirection w:val="btLr"/>
                            </w:pPr>
                            <w:r>
                              <w:rPr>
                                <w:rFonts w:ascii="Arial" w:eastAsia="Arial" w:hAnsi="Arial" w:cs="Arial"/>
                                <w:b/>
                                <w:color w:val="000000"/>
                                <w:sz w:val="24"/>
                              </w:rPr>
                              <w:t>If yes, could you mention some of them?</w:t>
                            </w:r>
                          </w:p>
                          <w:p w14:paraId="305D887D" w14:textId="77777777" w:rsidR="005C67AD" w:rsidRDefault="005C67AD">
                            <w:pPr>
                              <w:jc w:val="center"/>
                              <w:textDirection w:val="btLr"/>
                            </w:pPr>
                          </w:p>
                        </w:txbxContent>
                      </wps:txbx>
                      <wps:bodyPr spcFirstLastPara="1" wrap="square" lIns="91425" tIns="45700" rIns="91425" bIns="45700"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25401</wp:posOffset>
                </wp:positionH>
                <wp:positionV relativeFrom="paragraph">
                  <wp:posOffset>0</wp:posOffset>
                </wp:positionV>
                <wp:extent cx="6048375" cy="1298575"/>
                <wp:effectExtent b="0" l="0" r="0" t="0"/>
                <wp:wrapNone/>
                <wp:docPr id="2025443580" name="image1.png"/>
                <a:graphic>
                  <a:graphicData uri="http://schemas.openxmlformats.org/drawingml/2006/picture">
                    <pic:pic>
                      <pic:nvPicPr>
                        <pic:cNvPr id="0" name="image1.png"/>
                        <pic:cNvPicPr preferRelativeResize="0"/>
                      </pic:nvPicPr>
                      <pic:blipFill>
                        <a:blip r:embed="rId10"/>
                        <a:srcRect/>
                        <a:stretch>
                          <a:fillRect/>
                        </a:stretch>
                      </pic:blipFill>
                      <pic:spPr>
                        <a:xfrm>
                          <a:off x="0" y="0"/>
                          <a:ext cx="6048375" cy="1298575"/>
                        </a:xfrm>
                        <a:prstGeom prst="rect"/>
                        <a:ln/>
                      </pic:spPr>
                    </pic:pic>
                  </a:graphicData>
                </a:graphic>
              </wp:anchor>
            </w:drawing>
          </mc:Fallback>
        </mc:AlternateContent>
      </w:r>
    </w:p>
    <w:p w14:paraId="0000003B" w14:textId="77777777" w:rsidR="005C67AD" w:rsidRDefault="005C67AD">
      <w:pPr>
        <w:spacing w:line="360" w:lineRule="auto"/>
        <w:jc w:val="both"/>
        <w:rPr>
          <w:sz w:val="24"/>
          <w:szCs w:val="24"/>
        </w:rPr>
      </w:pPr>
    </w:p>
    <w:p w14:paraId="0000003C" w14:textId="77777777" w:rsidR="005C67AD" w:rsidRDefault="005C67AD">
      <w:pPr>
        <w:widowControl w:val="0"/>
        <w:spacing w:after="0"/>
        <w:ind w:right="62"/>
        <w:rPr>
          <w:rFonts w:ascii="Times New Roman" w:eastAsia="Times New Roman" w:hAnsi="Times New Roman" w:cs="Times New Roman"/>
          <w:b/>
          <w:sz w:val="28"/>
          <w:szCs w:val="28"/>
        </w:rPr>
      </w:pPr>
    </w:p>
    <w:p w14:paraId="0000003D" w14:textId="77777777" w:rsidR="005C67AD" w:rsidRDefault="005C67AD">
      <w:pPr>
        <w:widowControl w:val="0"/>
        <w:spacing w:after="0"/>
        <w:ind w:right="62"/>
        <w:rPr>
          <w:rFonts w:ascii="Times New Roman" w:eastAsia="Times New Roman" w:hAnsi="Times New Roman" w:cs="Times New Roman"/>
          <w:b/>
          <w:sz w:val="28"/>
          <w:szCs w:val="28"/>
        </w:rPr>
      </w:pPr>
    </w:p>
    <w:p w14:paraId="0000003E" w14:textId="77777777" w:rsidR="005C67AD" w:rsidRDefault="005C67AD">
      <w:pPr>
        <w:widowControl w:val="0"/>
        <w:spacing w:after="0"/>
        <w:ind w:right="62"/>
        <w:rPr>
          <w:rFonts w:ascii="Times New Roman" w:eastAsia="Times New Roman" w:hAnsi="Times New Roman" w:cs="Times New Roman"/>
          <w:b/>
          <w:sz w:val="28"/>
          <w:szCs w:val="28"/>
        </w:rPr>
      </w:pPr>
    </w:p>
    <w:p w14:paraId="0000003F" w14:textId="77777777" w:rsidR="005C67AD" w:rsidRDefault="00000000">
      <w:pPr>
        <w:widowControl w:val="0"/>
        <w:spacing w:after="0"/>
        <w:ind w:right="62"/>
        <w:rPr>
          <w:rFonts w:ascii="Times New Roman" w:eastAsia="Times New Roman" w:hAnsi="Times New Roman" w:cs="Times New Roman"/>
          <w:b/>
          <w:sz w:val="28"/>
          <w:szCs w:val="28"/>
        </w:rPr>
      </w:pPr>
      <w:r>
        <w:rPr>
          <w:rFonts w:ascii="Times New Roman" w:eastAsia="Times New Roman" w:hAnsi="Times New Roman" w:cs="Times New Roman"/>
          <w:b/>
          <w:sz w:val="28"/>
          <w:szCs w:val="28"/>
        </w:rPr>
        <w:t>Types of gaslighting in social and education settings</w:t>
      </w:r>
    </w:p>
    <w:p w14:paraId="00000040" w14:textId="77777777" w:rsidR="005C67AD" w:rsidRDefault="005C67AD">
      <w:pPr>
        <w:widowControl w:val="0"/>
        <w:spacing w:after="0"/>
        <w:ind w:right="62"/>
        <w:rPr>
          <w:rFonts w:ascii="Times New Roman" w:eastAsia="Times New Roman" w:hAnsi="Times New Roman" w:cs="Times New Roman"/>
          <w:b/>
          <w:sz w:val="28"/>
          <w:szCs w:val="28"/>
        </w:rPr>
      </w:pPr>
    </w:p>
    <w:p w14:paraId="00000041" w14:textId="77777777" w:rsidR="005C67AD" w:rsidRDefault="00000000">
      <w:pPr>
        <w:spacing w:line="360" w:lineRule="auto"/>
        <w:jc w:val="both"/>
        <w:rPr>
          <w:sz w:val="24"/>
          <w:szCs w:val="24"/>
        </w:rPr>
      </w:pPr>
      <w:r>
        <w:rPr>
          <w:sz w:val="24"/>
          <w:szCs w:val="24"/>
        </w:rPr>
        <w:t xml:space="preserve">In general, it must be emphasized that gaslighting is a manipulative tactic in which the perpetrator intends to undermine his victim and exploit the power imbalance between the two to create self-doubt in his victim. One of the main characteristics of gaslighting is the reversal of responsibility: those who engage in it do not deny the truth of a </w:t>
      </w:r>
      <w:proofErr w:type="gramStart"/>
      <w:r>
        <w:rPr>
          <w:sz w:val="24"/>
          <w:szCs w:val="24"/>
        </w:rPr>
        <w:t>problem, but</w:t>
      </w:r>
      <w:proofErr w:type="gramEnd"/>
      <w:r>
        <w:rPr>
          <w:sz w:val="24"/>
          <w:szCs w:val="24"/>
        </w:rPr>
        <w:t xml:space="preserve"> blame the problem on the other person and attack them for their way of being.</w:t>
      </w:r>
    </w:p>
    <w:p w14:paraId="00000042" w14:textId="77777777" w:rsidR="005C67AD" w:rsidRDefault="00000000">
      <w:pPr>
        <w:spacing w:line="360" w:lineRule="auto"/>
        <w:jc w:val="both"/>
      </w:pPr>
      <w:r>
        <w:rPr>
          <w:b/>
          <w:sz w:val="24"/>
          <w:szCs w:val="24"/>
        </w:rPr>
        <w:t>Institutional gaslighting.</w:t>
      </w:r>
      <w:r>
        <w:rPr>
          <w:sz w:val="24"/>
          <w:szCs w:val="24"/>
        </w:rPr>
        <w:t xml:space="preserve"> Like individuals, institutions can also use gaslighting by what they say (e.g. public statements and narratives spread through media campaigns). Institutional gaslighting has emerged as a useful concept to describe the abuse of institutional power to take responsibility for failing to protect the people they are supposed to protect. Institutional gaslighting is a form of gaslighting in which the state disguises its failure to respond, protect and provide justice in situations where it should (Wescott &amp; Roberts, 2025). A glaring example of this is the failure of the justice system to recognize and believe women’s accounts of violence (Chapman, 2022; Epstein and Goodman 2018). </w:t>
      </w:r>
    </w:p>
    <w:p w14:paraId="00000043" w14:textId="77777777" w:rsidR="005C67AD" w:rsidRDefault="00000000">
      <w:pPr>
        <w:spacing w:line="360" w:lineRule="auto"/>
        <w:jc w:val="both"/>
        <w:rPr>
          <w:sz w:val="24"/>
          <w:szCs w:val="24"/>
        </w:rPr>
      </w:pPr>
      <w:r>
        <w:rPr>
          <w:b/>
          <w:sz w:val="24"/>
          <w:szCs w:val="24"/>
        </w:rPr>
        <w:t>Structural gaslighting.</w:t>
      </w:r>
      <w:r>
        <w:rPr>
          <w:sz w:val="24"/>
          <w:szCs w:val="24"/>
        </w:rPr>
        <w:t xml:space="preserve"> Structural gaslighting takes place at various levels, from the interpersonal to the institutional, and obscures and </w:t>
      </w:r>
      <w:proofErr w:type="spellStart"/>
      <w:r>
        <w:rPr>
          <w:sz w:val="24"/>
          <w:szCs w:val="24"/>
        </w:rPr>
        <w:t>normalises</w:t>
      </w:r>
      <w:proofErr w:type="spellEnd"/>
      <w:r>
        <w:rPr>
          <w:sz w:val="24"/>
          <w:szCs w:val="24"/>
        </w:rPr>
        <w:t xml:space="preserve"> the connections between </w:t>
      </w:r>
      <w:r>
        <w:rPr>
          <w:sz w:val="24"/>
          <w:szCs w:val="24"/>
        </w:rPr>
        <w:lastRenderedPageBreak/>
        <w:t xml:space="preserve">oppression and what gives the oppressors </w:t>
      </w:r>
      <w:proofErr w:type="spellStart"/>
      <w:r>
        <w:rPr>
          <w:sz w:val="24"/>
          <w:szCs w:val="24"/>
        </w:rPr>
        <w:t>licence</w:t>
      </w:r>
      <w:proofErr w:type="spellEnd"/>
      <w:r>
        <w:rPr>
          <w:sz w:val="24"/>
          <w:szCs w:val="24"/>
        </w:rPr>
        <w:t xml:space="preserve"> to continue (Berenstein, 2020). In other words, structural gaslighting is any conceptual work that aims to obscure the non-accidental connections between the structures of oppression and the patterns of harm they produce and allow. Individuals engage in structural gaslighting when they invoke epistemologies and ideologies of domination that actively hide and obscure the actual causes, mechanisms and effects of oppression. </w:t>
      </w:r>
    </w:p>
    <w:p w14:paraId="00000044" w14:textId="77777777" w:rsidR="005C67AD" w:rsidRDefault="00000000">
      <w:pPr>
        <w:spacing w:line="259" w:lineRule="auto"/>
        <w:jc w:val="both"/>
        <w:rPr>
          <w:sz w:val="24"/>
          <w:szCs w:val="24"/>
        </w:rPr>
      </w:pPr>
      <w:r>
        <w:t xml:space="preserve">Structural gaslighting also manifests in specific contexts such as medical gaslighting, where marginalized patients’ reports of illness are dismissed or silenced, contributing to disparities in healthcare access and outcomes, particularly for women of color. This is not accidental but part of a broader cultural gaslighting that obscures and perpetuates settler colonial violence and dispossession (Bailey, 2020). As Bailey (2020) points out, structural gaslighting: </w:t>
      </w:r>
    </w:p>
    <w:p w14:paraId="00000045" w14:textId="77777777" w:rsidR="005C67AD" w:rsidRDefault="00000000">
      <w:pPr>
        <w:numPr>
          <w:ilvl w:val="0"/>
          <w:numId w:val="4"/>
        </w:numPr>
        <w:spacing w:line="259" w:lineRule="auto"/>
        <w:jc w:val="both"/>
      </w:pPr>
      <w:r>
        <w:t xml:space="preserve">Conceals systemic sources of oppression by individualizing </w:t>
      </w:r>
      <w:proofErr w:type="gramStart"/>
      <w:r>
        <w:t>harms;</w:t>
      </w:r>
      <w:proofErr w:type="gramEnd"/>
    </w:p>
    <w:p w14:paraId="00000046" w14:textId="77777777" w:rsidR="005C67AD" w:rsidRDefault="00000000">
      <w:pPr>
        <w:numPr>
          <w:ilvl w:val="0"/>
          <w:numId w:val="4"/>
        </w:numPr>
        <w:spacing w:line="259" w:lineRule="auto"/>
        <w:jc w:val="both"/>
      </w:pPr>
      <w:r>
        <w:t xml:space="preserve">Erodes marginalized </w:t>
      </w:r>
      <w:proofErr w:type="gramStart"/>
      <w:r>
        <w:t>peoples’</w:t>
      </w:r>
      <w:proofErr w:type="gramEnd"/>
      <w:r>
        <w:t xml:space="preserve"> epistemic credibility and </w:t>
      </w:r>
      <w:proofErr w:type="gramStart"/>
      <w:r>
        <w:t>agency;</w:t>
      </w:r>
      <w:proofErr w:type="gramEnd"/>
    </w:p>
    <w:p w14:paraId="00000047" w14:textId="77777777" w:rsidR="005C67AD" w:rsidRDefault="00000000">
      <w:pPr>
        <w:numPr>
          <w:ilvl w:val="0"/>
          <w:numId w:val="4"/>
        </w:numPr>
        <w:spacing w:line="259" w:lineRule="auto"/>
        <w:jc w:val="both"/>
      </w:pPr>
      <w:r>
        <w:t xml:space="preserve">Inflicts embodied trauma and health </w:t>
      </w:r>
      <w:proofErr w:type="gramStart"/>
      <w:r>
        <w:t>disparities;</w:t>
      </w:r>
      <w:proofErr w:type="gramEnd"/>
    </w:p>
    <w:p w14:paraId="00000048" w14:textId="77777777" w:rsidR="005C67AD" w:rsidRDefault="00000000">
      <w:pPr>
        <w:numPr>
          <w:ilvl w:val="0"/>
          <w:numId w:val="4"/>
        </w:numPr>
        <w:spacing w:line="259" w:lineRule="auto"/>
        <w:jc w:val="both"/>
      </w:pPr>
      <w:r>
        <w:t xml:space="preserve">Erases and destroys indigenous and marginalized epistemic </w:t>
      </w:r>
      <w:proofErr w:type="gramStart"/>
      <w:r>
        <w:t>frameworks;</w:t>
      </w:r>
      <w:proofErr w:type="gramEnd"/>
    </w:p>
    <w:p w14:paraId="00000049" w14:textId="77777777" w:rsidR="005C67AD" w:rsidRDefault="00000000">
      <w:pPr>
        <w:numPr>
          <w:ilvl w:val="0"/>
          <w:numId w:val="4"/>
        </w:numPr>
        <w:spacing w:line="259" w:lineRule="auto"/>
        <w:jc w:val="both"/>
      </w:pPr>
      <w:r>
        <w:t xml:space="preserve">Demands excessive epistemic labor from marginalized knowers to </w:t>
      </w:r>
      <w:proofErr w:type="gramStart"/>
      <w:r>
        <w:t>resist;</w:t>
      </w:r>
      <w:proofErr w:type="gramEnd"/>
    </w:p>
    <w:p w14:paraId="0000004A" w14:textId="77777777" w:rsidR="005C67AD" w:rsidRDefault="00000000">
      <w:pPr>
        <w:numPr>
          <w:ilvl w:val="0"/>
          <w:numId w:val="4"/>
        </w:numPr>
        <w:spacing w:line="259" w:lineRule="auto"/>
        <w:jc w:val="both"/>
      </w:pPr>
      <w:r>
        <w:t xml:space="preserve">Reinforces intersecting oppressions like racism, colonialism, patriarchy, and </w:t>
      </w:r>
      <w:proofErr w:type="gramStart"/>
      <w:r>
        <w:t>ableism;</w:t>
      </w:r>
      <w:proofErr w:type="gramEnd"/>
    </w:p>
    <w:p w14:paraId="0000004B" w14:textId="77777777" w:rsidR="005C67AD" w:rsidRDefault="00000000">
      <w:pPr>
        <w:numPr>
          <w:ilvl w:val="0"/>
          <w:numId w:val="4"/>
        </w:numPr>
        <w:spacing w:line="259" w:lineRule="auto"/>
        <w:jc w:val="both"/>
      </w:pPr>
      <w:r>
        <w:t xml:space="preserve">Perpetuates social and epistemic injustices that sustain dominant power </w:t>
      </w:r>
      <w:proofErr w:type="gramStart"/>
      <w:r>
        <w:t>structures [[</w:t>
      </w:r>
      <w:proofErr w:type="gramEnd"/>
      <w:r>
        <w:t>1]-[6]].</w:t>
      </w:r>
    </w:p>
    <w:p w14:paraId="0000004C" w14:textId="77777777" w:rsidR="005C67AD" w:rsidRDefault="00000000">
      <w:pPr>
        <w:spacing w:line="360" w:lineRule="auto"/>
        <w:jc w:val="both"/>
      </w:pPr>
      <w:r>
        <w:t>These implications highlight the urgent need for strong resistant epistemic communities and structural reparations to counter the harms of structural gaslighting</w:t>
      </w:r>
    </w:p>
    <w:p w14:paraId="0000004D" w14:textId="77777777" w:rsidR="005C67AD" w:rsidRDefault="00000000">
      <w:pPr>
        <w:spacing w:line="360" w:lineRule="auto"/>
        <w:jc w:val="both"/>
      </w:pPr>
      <w:r>
        <w:rPr>
          <w:b/>
          <w:sz w:val="24"/>
          <w:szCs w:val="24"/>
        </w:rPr>
        <w:t>Racial gaslighting</w:t>
      </w:r>
      <w:r>
        <w:rPr>
          <w:sz w:val="24"/>
          <w:szCs w:val="24"/>
        </w:rPr>
        <w:t xml:space="preserve"> is both a structural and institutional phenomenon that provides a way to understand how white supremacy is maintained over time. Racial gaslighting is</w:t>
      </w:r>
    </w:p>
    <w:p w14:paraId="0000004E" w14:textId="77777777" w:rsidR="005C67AD" w:rsidRDefault="00000000">
      <w:pPr>
        <w:spacing w:line="360" w:lineRule="auto"/>
        <w:jc w:val="both"/>
      </w:pPr>
      <w:r>
        <w:rPr>
          <w:i/>
          <w:sz w:val="24"/>
          <w:szCs w:val="24"/>
        </w:rPr>
        <w:t xml:space="preserve">the political, social, economic and cultural process that perpetuates and normalizes a white supremacist reality through pathologizing those who resist. Just as racial formation rests on the creation of racial projects, racial gaslighting, as a process, relies on the production of </w:t>
      </w:r>
      <w:proofErr w:type="gramStart"/>
      <w:r>
        <w:rPr>
          <w:i/>
          <w:sz w:val="24"/>
          <w:szCs w:val="24"/>
        </w:rPr>
        <w:t>particular narratives</w:t>
      </w:r>
      <w:proofErr w:type="gramEnd"/>
      <w:r>
        <w:rPr>
          <w:sz w:val="24"/>
          <w:szCs w:val="24"/>
        </w:rPr>
        <w:t xml:space="preserve"> (Davis &amp; Ernst, 2019),</w:t>
      </w:r>
    </w:p>
    <w:p w14:paraId="0000004F" w14:textId="77777777" w:rsidR="005C67AD" w:rsidRDefault="00000000">
      <w:pPr>
        <w:spacing w:line="360" w:lineRule="auto"/>
        <w:jc w:val="both"/>
        <w:rPr>
          <w:sz w:val="24"/>
          <w:szCs w:val="24"/>
        </w:rPr>
      </w:pPr>
      <w:r>
        <w:rPr>
          <w:sz w:val="24"/>
          <w:szCs w:val="24"/>
        </w:rPr>
        <w:t>An example of institutionalized racial gaslighting in teacher education is the study of how racial gaslighting causes people of color to doubt their own perceptions, abilities and knowledge, thus perpetuating white supremacy in academia (Vasquez et al. 2025).</w:t>
      </w:r>
    </w:p>
    <w:p w14:paraId="00000050" w14:textId="77777777" w:rsidR="005C67AD" w:rsidRDefault="00000000">
      <w:pPr>
        <w:spacing w:line="360" w:lineRule="auto"/>
        <w:jc w:val="both"/>
      </w:pPr>
      <w:r>
        <w:rPr>
          <w:b/>
          <w:sz w:val="24"/>
          <w:szCs w:val="24"/>
        </w:rPr>
        <w:lastRenderedPageBreak/>
        <w:t>Emotional gaslighting:</w:t>
      </w:r>
      <w:r>
        <w:rPr>
          <w:sz w:val="24"/>
          <w:szCs w:val="24"/>
        </w:rPr>
        <w:t xml:space="preserve"> Sodoma (2022) refers to ‘emotional gaslighting’ to describe ‘a form of gaslighting that specifically undermines the target’s confidence in their emotional reactions and the evaluative judgments they make based on these’ (324). Gaslighting creates feelings of shame and worthlessness in its victims and makes them believe that they do not have the abilities they need as epistemic beings. Typical examples of emotional gaslighting are </w:t>
      </w:r>
      <w:proofErr w:type="gramStart"/>
      <w:r>
        <w:rPr>
          <w:sz w:val="24"/>
          <w:szCs w:val="24"/>
        </w:rPr>
        <w:t>comments’</w:t>
      </w:r>
      <w:proofErr w:type="gramEnd"/>
      <w:r>
        <w:rPr>
          <w:sz w:val="24"/>
          <w:szCs w:val="24"/>
        </w:rPr>
        <w:t xml:space="preserve"> on someone’s behavior as irrational, exaggerating, hypersensitive, </w:t>
      </w:r>
      <w:proofErr w:type="spellStart"/>
      <w:r>
        <w:rPr>
          <w:sz w:val="24"/>
          <w:szCs w:val="24"/>
        </w:rPr>
        <w:t>etc</w:t>
      </w:r>
      <w:proofErr w:type="spellEnd"/>
      <w:r>
        <w:rPr>
          <w:sz w:val="24"/>
          <w:szCs w:val="24"/>
        </w:rPr>
        <w:t xml:space="preserve">, or focusing on tone policing instead of focusing on the concerns raised. </w:t>
      </w:r>
    </w:p>
    <w:p w14:paraId="00000051" w14:textId="77777777" w:rsidR="005C67AD" w:rsidRDefault="00000000">
      <w:pPr>
        <w:spacing w:line="360" w:lineRule="auto"/>
        <w:jc w:val="both"/>
      </w:pPr>
      <w:r>
        <w:rPr>
          <w:b/>
          <w:sz w:val="24"/>
          <w:szCs w:val="24"/>
        </w:rPr>
        <w:t>Epistemic gaslighting,</w:t>
      </w:r>
      <w:r>
        <w:rPr>
          <w:sz w:val="24"/>
          <w:szCs w:val="24"/>
        </w:rPr>
        <w:t xml:space="preserve"> according to Stark (2019), is unintentional and involves unconscious bias on the part of the perpetrator to undermine the victim’s ability as a knower. Epistemic gaslighting is a form of epistemic injustice (Abramson, 2014; McKinnon, 2017; Stark, 2019) when people's testimony and experiences are challenged, not because the goal is manipulation, but because the perpetrator’s unconscious biases (Stark, 2019). Below you can find some cases of epistemic </w:t>
      </w:r>
      <w:proofErr w:type="gramStart"/>
      <w:r>
        <w:rPr>
          <w:sz w:val="24"/>
          <w:szCs w:val="24"/>
        </w:rPr>
        <w:t>gaslighting :</w:t>
      </w:r>
      <w:proofErr w:type="gramEnd"/>
      <w:r>
        <w:rPr>
          <w:sz w:val="24"/>
          <w:szCs w:val="24"/>
        </w:rPr>
        <w:t xml:space="preserve"> </w:t>
      </w:r>
    </w:p>
    <w:p w14:paraId="00000052" w14:textId="77777777" w:rsidR="005C67AD" w:rsidRDefault="00000000">
      <w:pPr>
        <w:numPr>
          <w:ilvl w:val="0"/>
          <w:numId w:val="1"/>
        </w:numPr>
        <w:pBdr>
          <w:top w:val="nil"/>
          <w:left w:val="nil"/>
          <w:bottom w:val="nil"/>
          <w:right w:val="nil"/>
          <w:between w:val="nil"/>
        </w:pBdr>
        <w:spacing w:after="0" w:line="360" w:lineRule="auto"/>
        <w:jc w:val="both"/>
      </w:pPr>
      <w:r>
        <w:rPr>
          <w:i/>
          <w:color w:val="000000"/>
          <w:sz w:val="24"/>
          <w:szCs w:val="24"/>
        </w:rPr>
        <w:t>Identity abuse and gender.</w:t>
      </w:r>
      <w:r>
        <w:rPr>
          <w:color w:val="000000"/>
          <w:sz w:val="24"/>
          <w:szCs w:val="24"/>
        </w:rPr>
        <w:t xml:space="preserve"> Li and Samp (2024) highlight that gaslighting is a significant form of psychological manipulation and identity abuse faced by LGBTQ+ individuals, causing them to question their sense of identity and internalize heteronormative stigma. Fathers, followed by mothers and male friends, are identified as the most typical </w:t>
      </w:r>
      <w:proofErr w:type="spellStart"/>
      <w:r>
        <w:rPr>
          <w:color w:val="000000"/>
          <w:sz w:val="24"/>
          <w:szCs w:val="24"/>
        </w:rPr>
        <w:t>gaslighters</w:t>
      </w:r>
      <w:proofErr w:type="spellEnd"/>
      <w:r>
        <w:rPr>
          <w:color w:val="000000"/>
          <w:sz w:val="24"/>
          <w:szCs w:val="24"/>
        </w:rPr>
        <w:t xml:space="preserve">. </w:t>
      </w:r>
      <w:proofErr w:type="spellStart"/>
      <w:r>
        <w:rPr>
          <w:color w:val="000000"/>
          <w:sz w:val="24"/>
          <w:szCs w:val="24"/>
        </w:rPr>
        <w:t>Gaslighters</w:t>
      </w:r>
      <w:proofErr w:type="spellEnd"/>
      <w:r>
        <w:rPr>
          <w:color w:val="000000"/>
          <w:sz w:val="24"/>
          <w:szCs w:val="24"/>
        </w:rPr>
        <w:t xml:space="preserve"> use overt tactics such as devaluing LGBTQ+ identities to deliberately make themselves irrelevant.</w:t>
      </w:r>
    </w:p>
    <w:p w14:paraId="00000053" w14:textId="77777777" w:rsidR="005C67AD" w:rsidRDefault="00000000">
      <w:pPr>
        <w:numPr>
          <w:ilvl w:val="0"/>
          <w:numId w:val="1"/>
        </w:numPr>
        <w:pBdr>
          <w:top w:val="nil"/>
          <w:left w:val="nil"/>
          <w:bottom w:val="nil"/>
          <w:right w:val="nil"/>
          <w:between w:val="nil"/>
        </w:pBdr>
        <w:spacing w:after="0" w:line="360" w:lineRule="auto"/>
        <w:jc w:val="both"/>
      </w:pPr>
      <w:r>
        <w:rPr>
          <w:i/>
          <w:color w:val="000000"/>
          <w:sz w:val="24"/>
          <w:szCs w:val="24"/>
        </w:rPr>
        <w:t>Teacher well-being and toxic positivity as a form of gaslighting:</w:t>
      </w:r>
      <w:r>
        <w:rPr>
          <w:color w:val="000000"/>
          <w:sz w:val="24"/>
          <w:szCs w:val="24"/>
        </w:rPr>
        <w:t xml:space="preserve"> </w:t>
      </w:r>
      <w:proofErr w:type="spellStart"/>
      <w:r>
        <w:rPr>
          <w:color w:val="000000"/>
          <w:sz w:val="24"/>
          <w:szCs w:val="24"/>
        </w:rPr>
        <w:t>Karnovsky</w:t>
      </w:r>
      <w:proofErr w:type="spellEnd"/>
      <w:r>
        <w:rPr>
          <w:color w:val="000000"/>
          <w:sz w:val="24"/>
          <w:szCs w:val="24"/>
        </w:rPr>
        <w:t xml:space="preserve"> &amp; Gobby (2024) refer to toxic positivity in relation to teacher well-being as gaslighting. Toxic positivity is a critique of the prevailing approach to wellbeing that emphasizes positive emotions and attributes to an excessive or unrealistic degree. It refers to the phenomenon that expressing or bringing feelings other than happiness — such as cynicism, critical or pessimistic emotions — is seen as inappropriate or disruptive, particularly in work or </w:t>
      </w:r>
      <w:proofErr w:type="spellStart"/>
      <w:r>
        <w:rPr>
          <w:color w:val="000000"/>
          <w:sz w:val="24"/>
          <w:szCs w:val="24"/>
        </w:rPr>
        <w:t>organisational</w:t>
      </w:r>
      <w:proofErr w:type="spellEnd"/>
      <w:r>
        <w:rPr>
          <w:color w:val="000000"/>
          <w:sz w:val="24"/>
          <w:szCs w:val="24"/>
        </w:rPr>
        <w:t xml:space="preserve"> settings such as schools. This form of positivity enforces a culture in which individuals feel compelled to always appear happy and optimistic, which can devalue their actual experiences and feelings. In the context of teacher wellbeing, toxic positivity occurs when school leaders and wellbeing </w:t>
      </w:r>
      <w:proofErr w:type="spellStart"/>
      <w:r>
        <w:rPr>
          <w:color w:val="000000"/>
          <w:sz w:val="24"/>
          <w:szCs w:val="24"/>
        </w:rPr>
        <w:lastRenderedPageBreak/>
        <w:t>programmes</w:t>
      </w:r>
      <w:proofErr w:type="spellEnd"/>
      <w:r>
        <w:rPr>
          <w:color w:val="000000"/>
          <w:sz w:val="24"/>
          <w:szCs w:val="24"/>
        </w:rPr>
        <w:t xml:space="preserve"> promote unwavering positivity and self-management strategies (such as mindfulness or gratitude journals) without addressing the difficult and often damaging working conditions that underlie teachers' stress and unwellness. This can lead to a form of "gaslighting" where teachers' realities of teachers' poor working conditions </w:t>
      </w:r>
      <w:proofErr w:type="gramStart"/>
      <w:r>
        <w:rPr>
          <w:color w:val="000000"/>
          <w:sz w:val="24"/>
          <w:szCs w:val="24"/>
        </w:rPr>
        <w:t>is</w:t>
      </w:r>
      <w:proofErr w:type="gramEnd"/>
      <w:r>
        <w:rPr>
          <w:color w:val="000000"/>
          <w:sz w:val="24"/>
          <w:szCs w:val="24"/>
        </w:rPr>
        <w:t xml:space="preserve"> denied or </w:t>
      </w:r>
      <w:proofErr w:type="spellStart"/>
      <w:r>
        <w:rPr>
          <w:color w:val="000000"/>
          <w:sz w:val="24"/>
          <w:szCs w:val="24"/>
        </w:rPr>
        <w:t>trivialised</w:t>
      </w:r>
      <w:proofErr w:type="spellEnd"/>
      <w:r>
        <w:rPr>
          <w:color w:val="000000"/>
          <w:sz w:val="24"/>
          <w:szCs w:val="24"/>
        </w:rPr>
        <w:t>, forcing them to "put up with ever worsening situations with a smile"</w:t>
      </w:r>
    </w:p>
    <w:p w14:paraId="00000054" w14:textId="77777777" w:rsidR="005C67AD" w:rsidRDefault="00000000">
      <w:pPr>
        <w:numPr>
          <w:ilvl w:val="0"/>
          <w:numId w:val="1"/>
        </w:numPr>
        <w:pBdr>
          <w:top w:val="nil"/>
          <w:left w:val="nil"/>
          <w:bottom w:val="nil"/>
          <w:right w:val="nil"/>
          <w:between w:val="nil"/>
        </w:pBdr>
        <w:spacing w:after="0" w:line="360" w:lineRule="auto"/>
        <w:jc w:val="both"/>
      </w:pPr>
      <w:r>
        <w:rPr>
          <w:i/>
          <w:color w:val="000000"/>
          <w:sz w:val="24"/>
          <w:szCs w:val="24"/>
        </w:rPr>
        <w:t>Peer disagreement.</w:t>
      </w:r>
      <w:r>
        <w:rPr>
          <w:color w:val="000000"/>
          <w:sz w:val="24"/>
          <w:szCs w:val="24"/>
        </w:rPr>
        <w:t xml:space="preserve"> Spear (2023) argues that peer disagreement may be a form of gaslighting because in gaslighting the </w:t>
      </w:r>
      <w:proofErr w:type="spellStart"/>
      <w:r>
        <w:rPr>
          <w:color w:val="000000"/>
          <w:sz w:val="24"/>
          <w:szCs w:val="24"/>
        </w:rPr>
        <w:t>gaslighter</w:t>
      </w:r>
      <w:proofErr w:type="spellEnd"/>
      <w:r>
        <w:rPr>
          <w:color w:val="000000"/>
          <w:sz w:val="24"/>
          <w:szCs w:val="24"/>
        </w:rPr>
        <w:t xml:space="preserve"> creates a situation of epistemic peer disagreement in which the victim and the </w:t>
      </w:r>
      <w:proofErr w:type="spellStart"/>
      <w:r>
        <w:rPr>
          <w:color w:val="000000"/>
          <w:sz w:val="24"/>
          <w:szCs w:val="24"/>
        </w:rPr>
        <w:t>gaslighter</w:t>
      </w:r>
      <w:proofErr w:type="spellEnd"/>
      <w:r>
        <w:rPr>
          <w:color w:val="000000"/>
          <w:sz w:val="24"/>
          <w:szCs w:val="24"/>
        </w:rPr>
        <w:t xml:space="preserve"> disagree specifically about the victim's own epistemic status — their ability to trust their own cognitive abilities, judgement and perceptions. The victim must weigh their trust in themselves against their trust in the </w:t>
      </w:r>
      <w:proofErr w:type="spellStart"/>
      <w:r>
        <w:rPr>
          <w:color w:val="000000"/>
          <w:sz w:val="24"/>
          <w:szCs w:val="24"/>
        </w:rPr>
        <w:t>gaslighter</w:t>
      </w:r>
      <w:proofErr w:type="spellEnd"/>
      <w:r>
        <w:rPr>
          <w:color w:val="000000"/>
          <w:sz w:val="24"/>
          <w:szCs w:val="24"/>
        </w:rPr>
        <w:t xml:space="preserve">, who is perceived as an epistemic colleague or authority. This balancing act is particularly difficult because the </w:t>
      </w:r>
      <w:proofErr w:type="spellStart"/>
      <w:r>
        <w:rPr>
          <w:color w:val="000000"/>
          <w:sz w:val="24"/>
          <w:szCs w:val="24"/>
        </w:rPr>
        <w:t>gaslighter</w:t>
      </w:r>
      <w:proofErr w:type="spellEnd"/>
      <w:r>
        <w:rPr>
          <w:color w:val="000000"/>
          <w:sz w:val="24"/>
          <w:szCs w:val="24"/>
        </w:rPr>
        <w:t xml:space="preserve"> questions the victim's self-trust, which is fundamental to their epistemic agency. From the victim's point of view, this puts the victim in a position where they </w:t>
      </w:r>
      <w:proofErr w:type="gramStart"/>
      <w:r>
        <w:rPr>
          <w:color w:val="000000"/>
          <w:sz w:val="24"/>
          <w:szCs w:val="24"/>
        </w:rPr>
        <w:t>have to</w:t>
      </w:r>
      <w:proofErr w:type="gramEnd"/>
      <w:r>
        <w:rPr>
          <w:color w:val="000000"/>
          <w:sz w:val="24"/>
          <w:szCs w:val="24"/>
        </w:rPr>
        <w:t xml:space="preserve"> decide whether to maintain trust in their own cognitive ability or </w:t>
      </w:r>
      <w:proofErr w:type="gramStart"/>
      <w:r>
        <w:rPr>
          <w:color w:val="000000"/>
          <w:sz w:val="24"/>
          <w:szCs w:val="24"/>
        </w:rPr>
        <w:t xml:space="preserve">defer to the </w:t>
      </w:r>
      <w:proofErr w:type="spellStart"/>
      <w:r>
        <w:rPr>
          <w:color w:val="000000"/>
          <w:sz w:val="24"/>
          <w:szCs w:val="24"/>
        </w:rPr>
        <w:t>gaslighter's</w:t>
      </w:r>
      <w:proofErr w:type="spellEnd"/>
      <w:r>
        <w:rPr>
          <w:color w:val="000000"/>
          <w:sz w:val="24"/>
          <w:szCs w:val="24"/>
        </w:rPr>
        <w:t xml:space="preserve"> assessment</w:t>
      </w:r>
      <w:proofErr w:type="gramEnd"/>
      <w:r>
        <w:rPr>
          <w:color w:val="000000"/>
          <w:sz w:val="24"/>
          <w:szCs w:val="24"/>
        </w:rPr>
        <w:t xml:space="preserve"> to the contrary. This dynamic is a variation of the usual peer disagreement, as the disagreement is about the reliability of the victim's own abilities and not just a </w:t>
      </w:r>
      <w:proofErr w:type="gramStart"/>
      <w:r>
        <w:rPr>
          <w:color w:val="000000"/>
          <w:sz w:val="24"/>
          <w:szCs w:val="24"/>
        </w:rPr>
        <w:t>work disagreements</w:t>
      </w:r>
      <w:proofErr w:type="gramEnd"/>
      <w:r>
        <w:rPr>
          <w:color w:val="000000"/>
          <w:sz w:val="24"/>
          <w:szCs w:val="24"/>
        </w:rPr>
        <w:t xml:space="preserve"> between epistemic equals.</w:t>
      </w:r>
    </w:p>
    <w:p w14:paraId="00000055" w14:textId="77777777" w:rsidR="005C67AD" w:rsidRDefault="00000000">
      <w:pPr>
        <w:numPr>
          <w:ilvl w:val="0"/>
          <w:numId w:val="3"/>
        </w:numPr>
        <w:pBdr>
          <w:top w:val="nil"/>
          <w:left w:val="nil"/>
          <w:bottom w:val="nil"/>
          <w:right w:val="nil"/>
          <w:between w:val="nil"/>
        </w:pBdr>
        <w:spacing w:line="360" w:lineRule="auto"/>
        <w:jc w:val="both"/>
      </w:pPr>
      <w:r>
        <w:rPr>
          <w:i/>
          <w:color w:val="000000"/>
          <w:sz w:val="24"/>
          <w:szCs w:val="24"/>
        </w:rPr>
        <w:t>Gaslighting in the classroom:</w:t>
      </w:r>
      <w:r>
        <w:rPr>
          <w:color w:val="000000"/>
          <w:sz w:val="24"/>
          <w:szCs w:val="24"/>
        </w:rPr>
        <w:t xml:space="preserve"> Gaslighting in the classroom (</w:t>
      </w:r>
      <w:r>
        <w:rPr>
          <w:rFonts w:ascii="Calibri" w:eastAsia="Calibri" w:hAnsi="Calibri" w:cs="Calibri"/>
          <w:color w:val="000000"/>
          <w:sz w:val="24"/>
          <w:szCs w:val="24"/>
        </w:rPr>
        <w:t>AlSabbagh, 2023)</w:t>
      </w:r>
      <w:r>
        <w:rPr>
          <w:color w:val="000000"/>
          <w:sz w:val="24"/>
          <w:szCs w:val="24"/>
        </w:rPr>
        <w:t xml:space="preserve"> refers to a form of psychological manipulation and emotional abuse that is subtly and verbally inflicted on a student by a teacher. This includes behaviors such as constant ridicule, denial, avoidance, sabotaging, projecting, threatening, distracting and belittling, all aimed at controlling the student by making them doubt their reality and ability to understand — including their beliefs, thoughts, emotions, memory and sanity. This manipulation leads the student to have less trust in themselves and more confidence in the teacher, establishing control and dominance over the student. This can have a negative impact on the student's credibility, confidence, memory and mental health. Gaslighting in the classroom occurs specifically in the teacher-student relationship, </w:t>
      </w:r>
      <w:r>
        <w:rPr>
          <w:color w:val="000000"/>
          <w:sz w:val="24"/>
          <w:szCs w:val="24"/>
        </w:rPr>
        <w:lastRenderedPageBreak/>
        <w:t xml:space="preserve">which is characterized by an imbalance of power in favor of the teacher, making students more vulnerable to this form of abuse. </w:t>
      </w:r>
    </w:p>
    <w:p w14:paraId="00000056" w14:textId="77777777" w:rsidR="005C67AD" w:rsidRDefault="00000000">
      <w:pPr>
        <w:spacing w:line="360" w:lineRule="auto"/>
        <w:jc w:val="both"/>
        <w:rPr>
          <w:sz w:val="24"/>
          <w:szCs w:val="24"/>
        </w:rPr>
      </w:pPr>
      <w:r>
        <w:rPr>
          <w:sz w:val="24"/>
          <w:szCs w:val="24"/>
        </w:rPr>
        <w:t>In summary, teacher-student gaslighting occurs when a teacher uses manipulative and abusive verbal tactics to make students question their own perceptions and judgements, thereby gaining control over them (AlSabbagh, 2023).</w:t>
      </w:r>
    </w:p>
    <w:p w14:paraId="00000057" w14:textId="77777777" w:rsidR="005C67AD" w:rsidRDefault="00000000">
      <w:pPr>
        <w:spacing w:line="360" w:lineRule="auto"/>
        <w:jc w:val="both"/>
      </w:pPr>
      <w:r>
        <w:rPr>
          <w:noProof/>
        </w:rPr>
        <mc:AlternateContent>
          <mc:Choice Requires="wps">
            <w:drawing>
              <wp:anchor distT="0" distB="0" distL="114300" distR="114300" simplePos="0" relativeHeight="251661312" behindDoc="0" locked="0" layoutInCell="1" hidden="0" allowOverlap="1">
                <wp:simplePos x="0" y="0"/>
                <wp:positionH relativeFrom="column">
                  <wp:posOffset>1</wp:posOffset>
                </wp:positionH>
                <wp:positionV relativeFrom="paragraph">
                  <wp:posOffset>520700</wp:posOffset>
                </wp:positionV>
                <wp:extent cx="6454775" cy="1273175"/>
                <wp:effectExtent l="0" t="0" r="0" b="0"/>
                <wp:wrapNone/>
                <wp:docPr id="2025443585" name="Rectangle: Rounded Corners 2025443585"/>
                <wp:cNvGraphicFramePr/>
                <a:graphic xmlns:a="http://schemas.openxmlformats.org/drawingml/2006/main">
                  <a:graphicData uri="http://schemas.microsoft.com/office/word/2010/wordprocessingShape">
                    <wps:wsp>
                      <wps:cNvSpPr/>
                      <wps:spPr>
                        <a:xfrm>
                          <a:off x="2123375" y="3148175"/>
                          <a:ext cx="6445250" cy="1263650"/>
                        </a:xfrm>
                        <a:prstGeom prst="roundRect">
                          <a:avLst>
                            <a:gd name="adj" fmla="val 16667"/>
                          </a:avLst>
                        </a:prstGeom>
                        <a:gradFill>
                          <a:gsLst>
                            <a:gs pos="0">
                              <a:srgbClr val="9BADBE"/>
                            </a:gs>
                            <a:gs pos="50000">
                              <a:srgbClr val="8DA1B2"/>
                            </a:gs>
                            <a:gs pos="100000">
                              <a:srgbClr val="7893AA"/>
                            </a:gs>
                          </a:gsLst>
                          <a:lin ang="5400000" scaled="0"/>
                        </a:gradFill>
                        <a:ln w="9525" cap="flat" cmpd="sng">
                          <a:solidFill>
                            <a:schemeClr val="accent1"/>
                          </a:solidFill>
                          <a:prstDash val="solid"/>
                          <a:miter lim="800000"/>
                          <a:headEnd type="none" w="sm" len="sm"/>
                          <a:tailEnd type="none" w="sm" len="sm"/>
                        </a:ln>
                      </wps:spPr>
                      <wps:txbx>
                        <w:txbxContent>
                          <w:p w14:paraId="180A2B20" w14:textId="77777777" w:rsidR="005C67AD" w:rsidRDefault="00000000">
                            <w:pPr>
                              <w:spacing w:after="0" w:line="360" w:lineRule="auto"/>
                              <w:ind w:left="720" w:firstLine="360"/>
                              <w:textDirection w:val="btLr"/>
                            </w:pPr>
                            <w:r>
                              <w:rPr>
                                <w:rFonts w:ascii="Arial" w:eastAsia="Arial" w:hAnsi="Arial" w:cs="Arial"/>
                                <w:b/>
                                <w:color w:val="C00000"/>
                                <w:sz w:val="24"/>
                              </w:rPr>
                              <w:t>Group discussion</w:t>
                            </w:r>
                          </w:p>
                          <w:p w14:paraId="592520DF" w14:textId="77777777" w:rsidR="005C67AD" w:rsidRPr="003D29C9" w:rsidRDefault="00000000" w:rsidP="003D29C9">
                            <w:pPr>
                              <w:pStyle w:val="ListParagraph"/>
                              <w:numPr>
                                <w:ilvl w:val="0"/>
                                <w:numId w:val="5"/>
                              </w:numPr>
                              <w:spacing w:after="0" w:line="360" w:lineRule="auto"/>
                              <w:textDirection w:val="btLr"/>
                            </w:pPr>
                            <w:r w:rsidRPr="003D29C9">
                              <w:rPr>
                                <w:rFonts w:ascii="Arial" w:eastAsia="Arial" w:hAnsi="Arial" w:cs="Arial"/>
                                <w:b/>
                                <w:color w:val="000000"/>
                              </w:rPr>
                              <w:t>Given the above phenomena, can you think of phenomena of gaslighting at your school that go unnoticed?</w:t>
                            </w:r>
                          </w:p>
                          <w:p w14:paraId="006AF856" w14:textId="77777777" w:rsidR="005C67AD" w:rsidRPr="003D29C9" w:rsidRDefault="00000000" w:rsidP="003D29C9">
                            <w:pPr>
                              <w:pStyle w:val="ListParagraph"/>
                              <w:numPr>
                                <w:ilvl w:val="0"/>
                                <w:numId w:val="5"/>
                              </w:numPr>
                              <w:spacing w:after="0" w:line="360" w:lineRule="auto"/>
                              <w:textDirection w:val="btLr"/>
                            </w:pPr>
                            <w:r w:rsidRPr="003D29C9">
                              <w:rPr>
                                <w:rFonts w:ascii="Arial" w:eastAsia="Arial" w:hAnsi="Arial" w:cs="Arial"/>
                                <w:b/>
                                <w:color w:val="000000"/>
                              </w:rPr>
                              <w:t>How does your school usually respond to these incidents?</w:t>
                            </w:r>
                          </w:p>
                          <w:p w14:paraId="22C5AF3F" w14:textId="77777777" w:rsidR="005C67AD" w:rsidRDefault="005C67AD">
                            <w:pPr>
                              <w:spacing w:after="0" w:line="360" w:lineRule="auto"/>
                              <w:ind w:left="720" w:firstLine="360"/>
                              <w:textDirection w:val="btLr"/>
                            </w:pPr>
                          </w:p>
                          <w:p w14:paraId="14E0B99D" w14:textId="77777777" w:rsidR="005C67AD" w:rsidRDefault="005C67AD">
                            <w:pPr>
                              <w:spacing w:after="0" w:line="360" w:lineRule="auto"/>
                              <w:ind w:left="720"/>
                              <w:textDirection w:val="btLr"/>
                            </w:pPr>
                          </w:p>
                        </w:txbxContent>
                      </wps:txbx>
                      <wps:bodyPr spcFirstLastPara="1" wrap="square" lIns="91425" tIns="45700" rIns="91425" bIns="45700" anchor="ctr" anchorCtr="0">
                        <a:noAutofit/>
                      </wps:bodyPr>
                    </wps:wsp>
                  </a:graphicData>
                </a:graphic>
              </wp:anchor>
            </w:drawing>
          </mc:Choice>
          <mc:Fallback>
            <w:pict>
              <v:roundrect id="Rectangle: Rounded Corners 2025443585" o:spid="_x0000_s1029" style="position:absolute;left:0;text-align:left;margin-left:0;margin-top:41pt;width:508.25pt;height:100.25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x2jjQIAADUFAAAOAAAAZHJzL2Uyb0RvYy54bWysVNtu2zAMfR+wfxD0vjp2EicN6hRp0w4D&#10;iq5Ytw9gZNnWoNsk5fb3o2Q3DdYCA4blQSEt8ujwiNTV9UFJsuPOC6Mrml+MKOGamVrotqI/vt9/&#10;mlPiA+gapNG8okfu6fXy44ervV3wwnRG1twRBNF+sbcV7UKwiyzzrOMK/IWxXONmY5yCgK5rs9rB&#10;HtGVzIrRqMz2xtXWGca9x6/rfpMuE37TcBa+No3ngciKIreQVpfWTVyz5RUsWge2E2ygAf/AQoHQ&#10;eOgJag0ByNaJN1BKMGe8acIFMyozTSMYTzVgNfnoj2qeO7A81YLieHuSyf8/WPa4e7ZPDmXYW7/w&#10;aMYqDo1T8R/5kUNFi7wYj2dTSo4VHeeTeY52Eo4fAmEYUE4m02KK+jKMyItyXKKDEdkrlHU+fOZG&#10;kWhU1Jmtrr/h9STVYPfgQ5KvJhoU9gnUPylplMTL2IEkeVmWswFxCEbsF8xB+PpeSJls/wLniTWo&#10;1iid4l27uZWOIGBFL29W65u7AbL1fVofPR3h723GfL3Kb4p3M/KY8U7KbH45Xq3OUpB0+0JOCk0g&#10;jsl00qcTz0DyemjLGOrgVJPUZI+sUWZUGXBSGgkBTWUxweu252ukOGWkGeKngoExrkM+kPHnkVHH&#10;NfiuVyZtxTBYKBFwOqVQFZ33HNPnjkN9p2sSjhavSuNg00jOK0okx2cAjRQXQMi/x2GhUmOvvDZg&#10;tMJhcyACaxtHrPhlY+rjkyPesnuBhB/Ahydw2CA5no4TjOf+2oJDLvKLxku/zCdRrJCcyXSGF0Tc&#10;+c7mfAc06ww+DCw4itcSnduQHooohDarbTCNCMglEe3JDA7OZur14R2Jw3/up6jX1275GwAA//8D&#10;AFBLAwQUAAYACAAAACEAPBLInd4AAAAIAQAADwAAAGRycy9kb3ducmV2LnhtbEyPwU7DMBBE70j8&#10;g7VI3KjdoFRRyKailSo4cKHlA7axmwTidYjdJPD1uCd6Gq1mNfOmWM+2E6MZfOsYYblQIAxXTrdc&#10;I3wcdg8ZCB+INXWODcKP8bAub28KyrWb+N2M+1CLGMI+J4QmhD6X0leNseQXrjccvZMbLIV4DrXU&#10;A00x3HYyUWolLbUcGxrqzbYx1df+bBHacbc56NdP9bb5noi2v+np8aVHvL+bn59ABDOH/2e44Ed0&#10;KCPT0Z1Ze9EhxCEBIUuiXly1XKUgjghJlqQgy0JeDyj/AAAA//8DAFBLAQItABQABgAIAAAAIQC2&#10;gziS/gAAAOEBAAATAAAAAAAAAAAAAAAAAAAAAABbQ29udGVudF9UeXBlc10ueG1sUEsBAi0AFAAG&#10;AAgAAAAhADj9If/WAAAAlAEAAAsAAAAAAAAAAAAAAAAALwEAAF9yZWxzLy5yZWxzUEsBAi0AFAAG&#10;AAgAAAAhAKeDHaONAgAANQUAAA4AAAAAAAAAAAAAAAAALgIAAGRycy9lMm9Eb2MueG1sUEsBAi0A&#10;FAAGAAgAAAAhADwSyJ3eAAAACAEAAA8AAAAAAAAAAAAAAAAA5wQAAGRycy9kb3ducmV2LnhtbFBL&#10;BQYAAAAABAAEAPMAAADyBQAAAAA=&#10;" fillcolor="#9badbe" strokecolor="#156082 [3204]">
                <v:fill color2="#7893aa" colors="0 #9badbe;.5 #8da1b2;1 #7893aa" focus="100%" type="gradient">
                  <o:fill v:ext="view" type="gradientUnscaled"/>
                </v:fill>
                <v:stroke startarrowwidth="narrow" startarrowlength="short" endarrowwidth="narrow" endarrowlength="short" joinstyle="miter"/>
                <v:textbox inset="2.53958mm,1.2694mm,2.53958mm,1.2694mm">
                  <w:txbxContent>
                    <w:p w14:paraId="180A2B20" w14:textId="77777777" w:rsidR="005C67AD" w:rsidRDefault="00000000">
                      <w:pPr>
                        <w:spacing w:after="0" w:line="360" w:lineRule="auto"/>
                        <w:ind w:left="720" w:firstLine="360"/>
                        <w:textDirection w:val="btLr"/>
                      </w:pPr>
                      <w:r>
                        <w:rPr>
                          <w:rFonts w:ascii="Arial" w:eastAsia="Arial" w:hAnsi="Arial" w:cs="Arial"/>
                          <w:b/>
                          <w:color w:val="C00000"/>
                          <w:sz w:val="24"/>
                        </w:rPr>
                        <w:t>Group discussion</w:t>
                      </w:r>
                    </w:p>
                    <w:p w14:paraId="592520DF" w14:textId="77777777" w:rsidR="005C67AD" w:rsidRPr="003D29C9" w:rsidRDefault="00000000" w:rsidP="003D29C9">
                      <w:pPr>
                        <w:pStyle w:val="ListParagraph"/>
                        <w:numPr>
                          <w:ilvl w:val="0"/>
                          <w:numId w:val="5"/>
                        </w:numPr>
                        <w:spacing w:after="0" w:line="360" w:lineRule="auto"/>
                        <w:textDirection w:val="btLr"/>
                      </w:pPr>
                      <w:r w:rsidRPr="003D29C9">
                        <w:rPr>
                          <w:rFonts w:ascii="Arial" w:eastAsia="Arial" w:hAnsi="Arial" w:cs="Arial"/>
                          <w:b/>
                          <w:color w:val="000000"/>
                        </w:rPr>
                        <w:t>Given the above phenomena, can you think of phenomena of gaslighting at your school that go unnoticed?</w:t>
                      </w:r>
                    </w:p>
                    <w:p w14:paraId="006AF856" w14:textId="77777777" w:rsidR="005C67AD" w:rsidRPr="003D29C9" w:rsidRDefault="00000000" w:rsidP="003D29C9">
                      <w:pPr>
                        <w:pStyle w:val="ListParagraph"/>
                        <w:numPr>
                          <w:ilvl w:val="0"/>
                          <w:numId w:val="5"/>
                        </w:numPr>
                        <w:spacing w:after="0" w:line="360" w:lineRule="auto"/>
                        <w:textDirection w:val="btLr"/>
                      </w:pPr>
                      <w:r w:rsidRPr="003D29C9">
                        <w:rPr>
                          <w:rFonts w:ascii="Arial" w:eastAsia="Arial" w:hAnsi="Arial" w:cs="Arial"/>
                          <w:b/>
                          <w:color w:val="000000"/>
                        </w:rPr>
                        <w:t>How does your school usually respond to these incidents?</w:t>
                      </w:r>
                    </w:p>
                    <w:p w14:paraId="22C5AF3F" w14:textId="77777777" w:rsidR="005C67AD" w:rsidRDefault="005C67AD">
                      <w:pPr>
                        <w:spacing w:after="0" w:line="360" w:lineRule="auto"/>
                        <w:ind w:left="720" w:firstLine="360"/>
                        <w:textDirection w:val="btLr"/>
                      </w:pPr>
                    </w:p>
                    <w:p w14:paraId="14E0B99D" w14:textId="77777777" w:rsidR="005C67AD" w:rsidRDefault="005C67AD">
                      <w:pPr>
                        <w:spacing w:after="0" w:line="360" w:lineRule="auto"/>
                        <w:ind w:left="720"/>
                        <w:textDirection w:val="btLr"/>
                      </w:pPr>
                    </w:p>
                  </w:txbxContent>
                </v:textbox>
              </v:roundrect>
            </w:pict>
          </mc:Fallback>
        </mc:AlternateContent>
      </w:r>
    </w:p>
    <w:p w14:paraId="00000058" w14:textId="77777777" w:rsidR="005C67AD" w:rsidRDefault="00000000">
      <w:pPr>
        <w:rPr>
          <w:b/>
          <w:color w:val="595959"/>
          <w:sz w:val="28"/>
          <w:szCs w:val="28"/>
        </w:rPr>
      </w:pPr>
      <w:r>
        <w:br w:type="page"/>
      </w:r>
    </w:p>
    <w:p w14:paraId="00000059" w14:textId="77777777" w:rsidR="005C67AD" w:rsidRDefault="00000000">
      <w:pPr>
        <w:pStyle w:val="Subtitle"/>
        <w:rPr>
          <w:b/>
        </w:rPr>
      </w:pPr>
      <w:bookmarkStart w:id="6" w:name="_heading=h.ymhf9srxowqh" w:colFirst="0" w:colLast="0"/>
      <w:bookmarkEnd w:id="6"/>
      <w:r>
        <w:rPr>
          <w:b/>
        </w:rPr>
        <w:lastRenderedPageBreak/>
        <w:t xml:space="preserve">Section 3. Schools as critical infrastructures in the war of perception: use the echo chamber theory to build schools as critical infrastructures. </w:t>
      </w:r>
    </w:p>
    <w:p w14:paraId="0000005A" w14:textId="77777777" w:rsidR="005C67AD" w:rsidRDefault="00000000">
      <w:pPr>
        <w:spacing w:line="360" w:lineRule="auto"/>
        <w:jc w:val="both"/>
        <w:rPr>
          <w:color w:val="0E2841"/>
          <w:sz w:val="24"/>
          <w:szCs w:val="24"/>
        </w:rPr>
      </w:pPr>
      <w:bookmarkStart w:id="7" w:name="_heading=h.a9tp7oo9tr2q" w:colFirst="0" w:colLast="0"/>
      <w:bookmarkEnd w:id="7"/>
      <w:r>
        <w:rPr>
          <w:sz w:val="24"/>
          <w:szCs w:val="24"/>
        </w:rPr>
        <w:t xml:space="preserve">This section concludes by discussing a new positionality for both schools and school leaders as critical infrastructures and critical agents respectively in this process.  More specifically, </w:t>
      </w:r>
      <w:r>
        <w:rPr>
          <w:color w:val="0E2841"/>
          <w:sz w:val="24"/>
          <w:szCs w:val="24"/>
        </w:rPr>
        <w:t xml:space="preserve">it argues that a communicative health and gaslighting free school environment is the first step for building resilience against disinformation. It raises awareness among school leaders on incidents of epistemic injustice at school and invites them to use echo chamber theory to promote epistemic justice in their school.   </w:t>
      </w:r>
    </w:p>
    <w:p w14:paraId="0000005B" w14:textId="77777777" w:rsidR="005C67AD" w:rsidRDefault="00000000">
      <w:pPr>
        <w:spacing w:line="360" w:lineRule="auto"/>
        <w:jc w:val="both"/>
        <w:rPr>
          <w:sz w:val="24"/>
          <w:szCs w:val="24"/>
        </w:rPr>
      </w:pPr>
      <w:r>
        <w:rPr>
          <w:b/>
          <w:sz w:val="24"/>
          <w:szCs w:val="24"/>
        </w:rPr>
        <w:t>Epistemic injustice</w:t>
      </w:r>
      <w:r>
        <w:rPr>
          <w:sz w:val="24"/>
          <w:szCs w:val="24"/>
        </w:rPr>
        <w:t xml:space="preserve"> in schools refers to unfair treatment of individuals in their capacity as knowers or contributors of knowledge within the school environment. This occurs when certain voices are marginalized, silenced, or dismissed, leading to unequal recognition and participation in knowledge exchange and leadership (Tia and Nutbrown, 2023). </w:t>
      </w:r>
    </w:p>
    <w:p w14:paraId="0000005C" w14:textId="77777777" w:rsidR="005C67AD" w:rsidRDefault="00000000">
      <w:pPr>
        <w:spacing w:line="360" w:lineRule="auto"/>
        <w:jc w:val="both"/>
        <w:rPr>
          <w:sz w:val="24"/>
          <w:szCs w:val="24"/>
        </w:rPr>
      </w:pPr>
      <w:r>
        <w:rPr>
          <w:sz w:val="24"/>
          <w:szCs w:val="24"/>
        </w:rPr>
        <w:t xml:space="preserve">The </w:t>
      </w:r>
      <w:r>
        <w:rPr>
          <w:b/>
          <w:sz w:val="24"/>
          <w:szCs w:val="24"/>
        </w:rPr>
        <w:t>echo chamber effect</w:t>
      </w:r>
      <w:r>
        <w:rPr>
          <w:sz w:val="24"/>
          <w:szCs w:val="24"/>
        </w:rPr>
        <w:t xml:space="preserve"> refers to a belief system where only homogeneous information is accepted, while heterogeneous information is either ignored or discredited. Inside an echo chamber, outside voices are actively excluded, and there is a structural manipulation of trust by discrediting all external sources. This creates a strong reinforcement loop of existing beliefs on a cognitive level, making it difficult to alter members' thoughts and behaviors simply by providing opposite views (Chen, 2021)</w:t>
      </w:r>
    </w:p>
    <w:p w14:paraId="0000005D" w14:textId="77777777" w:rsidR="005C67AD" w:rsidRDefault="00000000">
      <w:pPr>
        <w:spacing w:line="360" w:lineRule="auto"/>
        <w:jc w:val="both"/>
        <w:rPr>
          <w:sz w:val="24"/>
          <w:szCs w:val="24"/>
        </w:rPr>
      </w:pPr>
      <w:r>
        <w:rPr>
          <w:noProof/>
        </w:rPr>
        <mc:AlternateContent>
          <mc:Choice Requires="wps">
            <w:drawing>
              <wp:anchor distT="0" distB="0" distL="114300" distR="114300" simplePos="0" relativeHeight="251662336" behindDoc="0" locked="0" layoutInCell="1" hidden="0" allowOverlap="1">
                <wp:simplePos x="0" y="0"/>
                <wp:positionH relativeFrom="column">
                  <wp:posOffset>1</wp:posOffset>
                </wp:positionH>
                <wp:positionV relativeFrom="paragraph">
                  <wp:posOffset>0</wp:posOffset>
                </wp:positionV>
                <wp:extent cx="6048375" cy="1298575"/>
                <wp:effectExtent l="0" t="0" r="0" b="0"/>
                <wp:wrapNone/>
                <wp:docPr id="2025443584" name="Rectangle: Rounded Corners 2025443584"/>
                <wp:cNvGraphicFramePr/>
                <a:graphic xmlns:a="http://schemas.openxmlformats.org/drawingml/2006/main">
                  <a:graphicData uri="http://schemas.microsoft.com/office/word/2010/wordprocessingShape">
                    <wps:wsp>
                      <wps:cNvSpPr/>
                      <wps:spPr>
                        <a:xfrm>
                          <a:off x="2326575" y="3135475"/>
                          <a:ext cx="6038850" cy="1289050"/>
                        </a:xfrm>
                        <a:prstGeom prst="roundRect">
                          <a:avLst>
                            <a:gd name="adj" fmla="val 16667"/>
                          </a:avLst>
                        </a:prstGeom>
                        <a:gradFill>
                          <a:gsLst>
                            <a:gs pos="0">
                              <a:srgbClr val="9BB29C"/>
                            </a:gs>
                            <a:gs pos="50000">
                              <a:srgbClr val="8EA78F"/>
                            </a:gs>
                            <a:gs pos="100000">
                              <a:srgbClr val="799A7B"/>
                            </a:gs>
                          </a:gsLst>
                          <a:lin ang="5400000" scaled="0"/>
                        </a:gradFill>
                        <a:ln w="9525" cap="flat" cmpd="sng">
                          <a:solidFill>
                            <a:schemeClr val="accent3"/>
                          </a:solidFill>
                          <a:prstDash val="solid"/>
                          <a:miter lim="800000"/>
                          <a:headEnd type="none" w="sm" len="sm"/>
                          <a:tailEnd type="none" w="sm" len="sm"/>
                        </a:ln>
                      </wps:spPr>
                      <wps:txbx>
                        <w:txbxContent>
                          <w:p w14:paraId="4DA25CB7" w14:textId="77777777" w:rsidR="005C67AD" w:rsidRDefault="00000000">
                            <w:pPr>
                              <w:spacing w:after="0" w:line="360" w:lineRule="auto"/>
                              <w:ind w:left="720" w:firstLine="360"/>
                              <w:textDirection w:val="btLr"/>
                            </w:pPr>
                            <w:r>
                              <w:rPr>
                                <w:rFonts w:ascii="Arial" w:eastAsia="Arial" w:hAnsi="Arial" w:cs="Arial"/>
                                <w:b/>
                                <w:color w:val="C00000"/>
                                <w:sz w:val="24"/>
                              </w:rPr>
                              <w:t>Group discussion</w:t>
                            </w:r>
                          </w:p>
                          <w:p w14:paraId="68CBC0D1" w14:textId="6789D303" w:rsidR="005C67AD" w:rsidRDefault="00000000" w:rsidP="003D29C9">
                            <w:pPr>
                              <w:spacing w:after="0" w:line="360" w:lineRule="auto"/>
                              <w:ind w:left="720" w:firstLine="360"/>
                              <w:jc w:val="both"/>
                              <w:textDirection w:val="btLr"/>
                            </w:pPr>
                            <w:r w:rsidRPr="003D29C9">
                              <w:rPr>
                                <w:rFonts w:ascii="Arial" w:eastAsia="Arial" w:hAnsi="Arial" w:cs="Arial"/>
                                <w:b/>
                                <w:color w:val="000000"/>
                                <w:sz w:val="24"/>
                                <w:szCs w:val="24"/>
                              </w:rPr>
                              <w:t xml:space="preserve">Can you think of cases that during your professional </w:t>
                            </w:r>
                            <w:r w:rsidR="003D29C9" w:rsidRPr="003D29C9">
                              <w:rPr>
                                <w:rFonts w:ascii="Arial" w:eastAsia="Arial" w:hAnsi="Arial" w:cs="Arial"/>
                                <w:b/>
                                <w:color w:val="000000"/>
                                <w:sz w:val="24"/>
                                <w:szCs w:val="24"/>
                              </w:rPr>
                              <w:t>career as</w:t>
                            </w:r>
                            <w:r w:rsidRPr="003D29C9">
                              <w:rPr>
                                <w:rFonts w:ascii="Arial" w:eastAsia="Arial" w:hAnsi="Arial" w:cs="Arial"/>
                                <w:b/>
                                <w:color w:val="000000"/>
                                <w:sz w:val="24"/>
                                <w:szCs w:val="24"/>
                              </w:rPr>
                              <w:t xml:space="preserve"> school leader</w:t>
                            </w:r>
                            <w:r w:rsidR="003D29C9">
                              <w:rPr>
                                <w:rFonts w:ascii="Arial" w:eastAsia="Arial" w:hAnsi="Arial" w:cs="Arial"/>
                                <w:b/>
                                <w:color w:val="000000"/>
                                <w:sz w:val="24"/>
                                <w:szCs w:val="24"/>
                              </w:rPr>
                              <w:t xml:space="preserve"> </w:t>
                            </w:r>
                            <w:r w:rsidRPr="003D29C9">
                              <w:rPr>
                                <w:rFonts w:ascii="Arial" w:eastAsia="Arial" w:hAnsi="Arial" w:cs="Arial"/>
                                <w:b/>
                                <w:color w:val="000000"/>
                                <w:sz w:val="24"/>
                                <w:szCs w:val="24"/>
                              </w:rPr>
                              <w:t>have been the victim of epistemic injustice</w:t>
                            </w:r>
                            <w:r>
                              <w:rPr>
                                <w:rFonts w:ascii="Arial" w:eastAsia="Arial" w:hAnsi="Arial" w:cs="Arial"/>
                                <w:b/>
                                <w:color w:val="000000"/>
                                <w:sz w:val="28"/>
                              </w:rPr>
                              <w:t>?</w:t>
                            </w:r>
                          </w:p>
                          <w:p w14:paraId="6BB0FC79" w14:textId="77777777" w:rsidR="005C67AD" w:rsidRDefault="005C67AD">
                            <w:pPr>
                              <w:jc w:val="center"/>
                              <w:textDirection w:val="btLr"/>
                            </w:pPr>
                          </w:p>
                        </w:txbxContent>
                      </wps:txbx>
                      <wps:bodyPr spcFirstLastPara="1" wrap="square" lIns="91425" tIns="45700" rIns="91425" bIns="45700" anchor="ctr" anchorCtr="0">
                        <a:noAutofit/>
                      </wps:bodyPr>
                    </wps:wsp>
                  </a:graphicData>
                </a:graphic>
              </wp:anchor>
            </w:drawing>
          </mc:Choice>
          <mc:Fallback>
            <w:pict>
              <v:roundrect id="Rectangle: Rounded Corners 2025443584" o:spid="_x0000_s1030" style="position:absolute;left:0;text-align:left;margin-left:0;margin-top:0;width:476.25pt;height:102.2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0AejgIAADUFAAAOAAAAZHJzL2Uyb0RvYy54bWysVNtu2zAMfR+wfxD0vtpO4sQJ6hS9ZRhQ&#10;dMW6fQAjy7EG3SYpt78fJbtpsBYYMCwPCmWRR4eHpC6vDkqSHXdeGF3T4iKnhGtmGqE3Nf3xffWp&#10;osQH0A1Io3lNj9zTq+XHD5d7u+Aj0xnZcEcQRPvF3ta0C8EussyzjivwF8ZyjYetcQoCbt0maxzs&#10;EV3JbJTn02xvXGOdYdx7/HrXH9Jlwm9bzsLXtvU8EFlT5BbS6tK6jmu2vITFxoHtBBtowD+wUCA0&#10;XnqCuoMAZOvEGyglmDPetOGCGZWZthWMpxwwmyL/I5vnDixPuaA43p5k8v8Plj3unu2TQxn21i88&#10;mjGLQ+tU/Ed+5FDT0Xg0LWclJceajotxOUE7CccPgTB0mObjqipRX4Yexaia57hBj+wVyjofPnOj&#10;SDRq6sxWN9+wPEk12D34kORriAaFfQLNT0paJbEYO5CkmE6nswFxcEbsF8xB+GYlpEy2f4HzxBpU&#10;K0+3eLdZ30pHELCm85ub0fx2gNz4Pqz3LnP8vY2o7q9n1erdiCJGvBMym8+vZzdnIUh680JOCk0g&#10;jkk56cOJZyB5M7RldHVwyklqskfW5QjLwAAnpZUQ0FQWA7ze9HyNFKeINEP8lDAwxnUYD2T8uWfU&#10;8Q581yuTjqIbLJQIOJ1SqJpWPcf0uePQ3OuGhKPFUmkcbBrJeUWJ5PgMoJH8Agj5dz9MVGrsldcG&#10;jFY4rA9EYG6TiBW/rE1zfHLEW7YSSPgBfHgChw1S4O04wXjvry045CK/aCz6vJhEsULaTMoZFoi4&#10;85P1+Qlo1hl8GFhwFMsSN7chPRRRCG2ut8G0IiCXRLQnM2xwNlOvD+9IHP7zffJ6fe2WvwEAAP//&#10;AwBQSwMEFAAGAAgAAAAhAO1xKoHaAAAABQEAAA8AAABkcnMvZG93bnJldi54bWxMj8FOwzAQRO9I&#10;/IO1SNyoQ9Q0JcSpKqQeOVC4cHPjTRzV3o1iNw1/j+ECl5VGM5p5W+8W78SMUxiYFDyuMhBILZuB&#10;egUf74eHLYgQNRntmFDBFwbYNbc3ta4MX+kN52PsRSqhUGkFNsaxkjK0Fr0OKx6Rktfx5HVMcuql&#10;mfQ1lXsn8yzbSK8HSgtWj/hisT0fL17BPpwP/Fmw67Zzt5Hluny1ZanU/d2yfwYRcYl/YfjBT+jQ&#10;JKYTX8gE4RSkR+LvTd5TkRcgTgrybF2AbGr5n775BgAA//8DAFBLAQItABQABgAIAAAAIQC2gziS&#10;/gAAAOEBAAATAAAAAAAAAAAAAAAAAAAAAABbQ29udGVudF9UeXBlc10ueG1sUEsBAi0AFAAGAAgA&#10;AAAhADj9If/WAAAAlAEAAAsAAAAAAAAAAAAAAAAALwEAAF9yZWxzLy5yZWxzUEsBAi0AFAAGAAgA&#10;AAAhAHuHQB6OAgAANQUAAA4AAAAAAAAAAAAAAAAALgIAAGRycy9lMm9Eb2MueG1sUEsBAi0AFAAG&#10;AAgAAAAhAO1xKoHaAAAABQEAAA8AAAAAAAAAAAAAAAAA6AQAAGRycy9kb3ducmV2LnhtbFBLBQYA&#10;AAAABAAEAPMAAADvBQAAAAA=&#10;" fillcolor="#9bb29c" strokecolor="#196b24 [3206]">
                <v:fill color2="#799a7b" colors="0 #9bb29c;.5 #8ea78f;1 #799a7b" focus="100%" type="gradient">
                  <o:fill v:ext="view" type="gradientUnscaled"/>
                </v:fill>
                <v:stroke startarrowwidth="narrow" startarrowlength="short" endarrowwidth="narrow" endarrowlength="short" joinstyle="miter"/>
                <v:textbox inset="2.53958mm,1.2694mm,2.53958mm,1.2694mm">
                  <w:txbxContent>
                    <w:p w14:paraId="4DA25CB7" w14:textId="77777777" w:rsidR="005C67AD" w:rsidRDefault="00000000">
                      <w:pPr>
                        <w:spacing w:after="0" w:line="360" w:lineRule="auto"/>
                        <w:ind w:left="720" w:firstLine="360"/>
                        <w:textDirection w:val="btLr"/>
                      </w:pPr>
                      <w:r>
                        <w:rPr>
                          <w:rFonts w:ascii="Arial" w:eastAsia="Arial" w:hAnsi="Arial" w:cs="Arial"/>
                          <w:b/>
                          <w:color w:val="C00000"/>
                          <w:sz w:val="24"/>
                        </w:rPr>
                        <w:t>Group discussion</w:t>
                      </w:r>
                    </w:p>
                    <w:p w14:paraId="68CBC0D1" w14:textId="6789D303" w:rsidR="005C67AD" w:rsidRDefault="00000000" w:rsidP="003D29C9">
                      <w:pPr>
                        <w:spacing w:after="0" w:line="360" w:lineRule="auto"/>
                        <w:ind w:left="720" w:firstLine="360"/>
                        <w:jc w:val="both"/>
                        <w:textDirection w:val="btLr"/>
                      </w:pPr>
                      <w:r w:rsidRPr="003D29C9">
                        <w:rPr>
                          <w:rFonts w:ascii="Arial" w:eastAsia="Arial" w:hAnsi="Arial" w:cs="Arial"/>
                          <w:b/>
                          <w:color w:val="000000"/>
                          <w:sz w:val="24"/>
                          <w:szCs w:val="24"/>
                        </w:rPr>
                        <w:t xml:space="preserve">Can you think of cases that during your professional </w:t>
                      </w:r>
                      <w:r w:rsidR="003D29C9" w:rsidRPr="003D29C9">
                        <w:rPr>
                          <w:rFonts w:ascii="Arial" w:eastAsia="Arial" w:hAnsi="Arial" w:cs="Arial"/>
                          <w:b/>
                          <w:color w:val="000000"/>
                          <w:sz w:val="24"/>
                          <w:szCs w:val="24"/>
                        </w:rPr>
                        <w:t>career as</w:t>
                      </w:r>
                      <w:r w:rsidRPr="003D29C9">
                        <w:rPr>
                          <w:rFonts w:ascii="Arial" w:eastAsia="Arial" w:hAnsi="Arial" w:cs="Arial"/>
                          <w:b/>
                          <w:color w:val="000000"/>
                          <w:sz w:val="24"/>
                          <w:szCs w:val="24"/>
                        </w:rPr>
                        <w:t xml:space="preserve"> school leader</w:t>
                      </w:r>
                      <w:r w:rsidR="003D29C9">
                        <w:rPr>
                          <w:rFonts w:ascii="Arial" w:eastAsia="Arial" w:hAnsi="Arial" w:cs="Arial"/>
                          <w:b/>
                          <w:color w:val="000000"/>
                          <w:sz w:val="24"/>
                          <w:szCs w:val="24"/>
                        </w:rPr>
                        <w:t xml:space="preserve"> </w:t>
                      </w:r>
                      <w:r w:rsidRPr="003D29C9">
                        <w:rPr>
                          <w:rFonts w:ascii="Arial" w:eastAsia="Arial" w:hAnsi="Arial" w:cs="Arial"/>
                          <w:b/>
                          <w:color w:val="000000"/>
                          <w:sz w:val="24"/>
                          <w:szCs w:val="24"/>
                        </w:rPr>
                        <w:t>have been the victim of epistemic injustice</w:t>
                      </w:r>
                      <w:r>
                        <w:rPr>
                          <w:rFonts w:ascii="Arial" w:eastAsia="Arial" w:hAnsi="Arial" w:cs="Arial"/>
                          <w:b/>
                          <w:color w:val="000000"/>
                          <w:sz w:val="28"/>
                        </w:rPr>
                        <w:t>?</w:t>
                      </w:r>
                    </w:p>
                    <w:p w14:paraId="6BB0FC79" w14:textId="77777777" w:rsidR="005C67AD" w:rsidRDefault="005C67AD">
                      <w:pPr>
                        <w:jc w:val="center"/>
                        <w:textDirection w:val="btLr"/>
                      </w:pPr>
                    </w:p>
                  </w:txbxContent>
                </v:textbox>
              </v:roundrect>
            </w:pict>
          </mc:Fallback>
        </mc:AlternateContent>
      </w:r>
    </w:p>
    <w:p w14:paraId="0000005E" w14:textId="77777777" w:rsidR="005C67AD" w:rsidRDefault="005C67AD">
      <w:pPr>
        <w:spacing w:line="360" w:lineRule="auto"/>
        <w:jc w:val="both"/>
        <w:rPr>
          <w:sz w:val="24"/>
          <w:szCs w:val="24"/>
        </w:rPr>
      </w:pPr>
    </w:p>
    <w:p w14:paraId="0000005F" w14:textId="77777777" w:rsidR="005C67AD" w:rsidRDefault="005C67AD">
      <w:pPr>
        <w:spacing w:line="360" w:lineRule="auto"/>
        <w:jc w:val="both"/>
        <w:rPr>
          <w:sz w:val="24"/>
          <w:szCs w:val="24"/>
        </w:rPr>
      </w:pPr>
    </w:p>
    <w:p w14:paraId="00000060" w14:textId="77777777" w:rsidR="005C67AD" w:rsidRDefault="005C67AD">
      <w:pPr>
        <w:spacing w:line="360" w:lineRule="auto"/>
        <w:jc w:val="both"/>
        <w:rPr>
          <w:sz w:val="24"/>
          <w:szCs w:val="24"/>
        </w:rPr>
      </w:pPr>
    </w:p>
    <w:p w14:paraId="00000061" w14:textId="77777777" w:rsidR="005C67AD" w:rsidRDefault="005C67AD">
      <w:pPr>
        <w:spacing w:line="360" w:lineRule="auto"/>
        <w:jc w:val="both"/>
        <w:rPr>
          <w:sz w:val="24"/>
          <w:szCs w:val="24"/>
        </w:rPr>
      </w:pPr>
    </w:p>
    <w:p w14:paraId="00000062" w14:textId="77777777" w:rsidR="005C67AD" w:rsidRDefault="00000000">
      <w:pPr>
        <w:spacing w:line="259" w:lineRule="auto"/>
        <w:jc w:val="both"/>
      </w:pPr>
      <w:r>
        <w:t xml:space="preserve">Below, you can find the most recent typologies of epistemic injustice in education. </w:t>
      </w:r>
    </w:p>
    <w:p w14:paraId="00000063" w14:textId="77777777" w:rsidR="005C67AD" w:rsidRDefault="005C67AD">
      <w:pPr>
        <w:spacing w:line="259" w:lineRule="auto"/>
        <w:jc w:val="both"/>
      </w:pPr>
    </w:p>
    <w:p w14:paraId="00000064" w14:textId="77777777" w:rsidR="005C67AD" w:rsidRDefault="005C67AD">
      <w:pPr>
        <w:spacing w:line="259" w:lineRule="auto"/>
        <w:jc w:val="both"/>
        <w:sectPr w:rsidR="005C67AD">
          <w:footerReference w:type="default" r:id="rId11"/>
          <w:pgSz w:w="12240" w:h="15840"/>
          <w:pgMar w:top="1440" w:right="1440" w:bottom="1440" w:left="1440" w:header="720" w:footer="720" w:gutter="0"/>
          <w:pgNumType w:start="1"/>
          <w:cols w:space="720"/>
        </w:sectPr>
      </w:pPr>
    </w:p>
    <w:p w14:paraId="00000065" w14:textId="77777777" w:rsidR="005C67AD" w:rsidRDefault="005C67AD">
      <w:pPr>
        <w:widowControl w:val="0"/>
        <w:pBdr>
          <w:top w:val="nil"/>
          <w:left w:val="nil"/>
          <w:bottom w:val="nil"/>
          <w:right w:val="nil"/>
          <w:between w:val="nil"/>
        </w:pBdr>
        <w:spacing w:after="0" w:line="276" w:lineRule="auto"/>
      </w:pPr>
    </w:p>
    <w:tbl>
      <w:tblPr>
        <w:tblStyle w:val="a"/>
        <w:tblW w:w="130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3827"/>
        <w:gridCol w:w="4961"/>
      </w:tblGrid>
      <w:tr w:rsidR="005C67AD" w14:paraId="65FA3853" w14:textId="77777777">
        <w:tc>
          <w:tcPr>
            <w:tcW w:w="4248" w:type="dxa"/>
            <w:shd w:val="clear" w:color="auto" w:fill="E8E8E8"/>
          </w:tcPr>
          <w:p w14:paraId="00000066" w14:textId="77777777" w:rsidR="005C67AD" w:rsidRDefault="00000000">
            <w:pPr>
              <w:spacing w:line="259" w:lineRule="auto"/>
              <w:jc w:val="both"/>
              <w:rPr>
                <w:b/>
                <w:sz w:val="20"/>
                <w:szCs w:val="20"/>
              </w:rPr>
            </w:pPr>
            <w:r>
              <w:rPr>
                <w:b/>
                <w:sz w:val="20"/>
                <w:szCs w:val="20"/>
              </w:rPr>
              <w:t>Ballarin et al. 2021</w:t>
            </w:r>
          </w:p>
        </w:tc>
        <w:tc>
          <w:tcPr>
            <w:tcW w:w="3827" w:type="dxa"/>
            <w:shd w:val="clear" w:color="auto" w:fill="E8E8E8"/>
          </w:tcPr>
          <w:p w14:paraId="00000067" w14:textId="77777777" w:rsidR="005C67AD" w:rsidRDefault="005C67AD">
            <w:pPr>
              <w:spacing w:line="259" w:lineRule="auto"/>
              <w:jc w:val="both"/>
              <w:rPr>
                <w:b/>
                <w:sz w:val="20"/>
                <w:szCs w:val="20"/>
              </w:rPr>
            </w:pPr>
          </w:p>
        </w:tc>
        <w:tc>
          <w:tcPr>
            <w:tcW w:w="4961" w:type="dxa"/>
            <w:shd w:val="clear" w:color="auto" w:fill="E8E8E8"/>
          </w:tcPr>
          <w:p w14:paraId="00000068" w14:textId="77777777" w:rsidR="005C67AD" w:rsidRDefault="005C67AD">
            <w:pPr>
              <w:spacing w:line="259" w:lineRule="auto"/>
              <w:jc w:val="both"/>
              <w:rPr>
                <w:b/>
                <w:sz w:val="20"/>
                <w:szCs w:val="20"/>
              </w:rPr>
            </w:pPr>
          </w:p>
        </w:tc>
      </w:tr>
      <w:tr w:rsidR="005C67AD" w14:paraId="4B4FA643" w14:textId="77777777">
        <w:tc>
          <w:tcPr>
            <w:tcW w:w="4248" w:type="dxa"/>
          </w:tcPr>
          <w:p w14:paraId="00000069" w14:textId="77777777" w:rsidR="005C67AD" w:rsidRDefault="00000000">
            <w:pPr>
              <w:spacing w:after="160" w:line="259" w:lineRule="auto"/>
              <w:jc w:val="both"/>
              <w:rPr>
                <w:sz w:val="20"/>
                <w:szCs w:val="20"/>
              </w:rPr>
            </w:pPr>
            <w:r>
              <w:rPr>
                <w:b/>
                <w:sz w:val="20"/>
                <w:szCs w:val="20"/>
              </w:rPr>
              <w:t>Testimonial injustice</w:t>
            </w:r>
            <w:r>
              <w:rPr>
                <w:sz w:val="20"/>
                <w:szCs w:val="20"/>
              </w:rPr>
              <w:t>: This occurs when the testimonies or knowledge contributions of individuals from marginalized groups (e.g., women, indigenous peoples, ethnic minorities) are dismissed or deemed irrelevant and untrustworthy purely because of their social identity. </w:t>
            </w:r>
          </w:p>
          <w:p w14:paraId="0000006A" w14:textId="77777777" w:rsidR="005C67AD" w:rsidRDefault="00000000">
            <w:pPr>
              <w:spacing w:after="160" w:line="259" w:lineRule="auto"/>
              <w:jc w:val="both"/>
              <w:rPr>
                <w:sz w:val="20"/>
                <w:szCs w:val="20"/>
              </w:rPr>
            </w:pPr>
            <w:r>
              <w:rPr>
                <w:b/>
                <w:sz w:val="20"/>
                <w:szCs w:val="20"/>
              </w:rPr>
              <w:t>Hermeneutical injustice</w:t>
            </w:r>
            <w:r>
              <w:rPr>
                <w:sz w:val="20"/>
                <w:szCs w:val="20"/>
              </w:rPr>
              <w:t>: This happens when someone’s way of expressing or explaining their experiences is not understood or is marginalized due to a lack of shared interpretative resources. As a result, their experiences remain unintelligible or invisible in dominant discourses. </w:t>
            </w:r>
          </w:p>
          <w:p w14:paraId="0000006B" w14:textId="77777777" w:rsidR="005C67AD" w:rsidRDefault="005C67AD">
            <w:pPr>
              <w:spacing w:line="259" w:lineRule="auto"/>
              <w:jc w:val="both"/>
              <w:rPr>
                <w:b/>
                <w:sz w:val="20"/>
                <w:szCs w:val="20"/>
              </w:rPr>
            </w:pPr>
          </w:p>
        </w:tc>
        <w:tc>
          <w:tcPr>
            <w:tcW w:w="3827" w:type="dxa"/>
          </w:tcPr>
          <w:p w14:paraId="0000006C" w14:textId="77777777" w:rsidR="005C67AD" w:rsidRDefault="00000000">
            <w:pPr>
              <w:spacing w:line="259" w:lineRule="auto"/>
              <w:jc w:val="both"/>
              <w:rPr>
                <w:sz w:val="20"/>
                <w:szCs w:val="20"/>
              </w:rPr>
            </w:pPr>
            <w:r>
              <w:rPr>
                <w:b/>
                <w:sz w:val="20"/>
                <w:szCs w:val="20"/>
              </w:rPr>
              <w:t>Epistemic marginalization in education</w:t>
            </w:r>
            <w:r>
              <w:rPr>
                <w:sz w:val="20"/>
                <w:szCs w:val="20"/>
              </w:rPr>
              <w:t>: Education systems have historically prioritized Eurocentric knowledge and marginalized indigenous, local, or subaltern knowledges. </w:t>
            </w:r>
          </w:p>
          <w:p w14:paraId="0000006D" w14:textId="77777777" w:rsidR="005C67AD" w:rsidRDefault="005C67AD">
            <w:pPr>
              <w:spacing w:line="259" w:lineRule="auto"/>
              <w:jc w:val="both"/>
              <w:rPr>
                <w:sz w:val="20"/>
                <w:szCs w:val="20"/>
              </w:rPr>
            </w:pPr>
          </w:p>
          <w:p w14:paraId="0000006E" w14:textId="77777777" w:rsidR="005C67AD" w:rsidRDefault="00000000">
            <w:pPr>
              <w:spacing w:line="259" w:lineRule="auto"/>
              <w:jc w:val="both"/>
              <w:rPr>
                <w:b/>
                <w:sz w:val="20"/>
                <w:szCs w:val="20"/>
              </w:rPr>
            </w:pPr>
            <w:r>
              <w:rPr>
                <w:b/>
                <w:sz w:val="20"/>
                <w:szCs w:val="20"/>
              </w:rPr>
              <w:t>Exclusion of indigenous knowledge in formal education</w:t>
            </w:r>
            <w:r>
              <w:rPr>
                <w:sz w:val="20"/>
                <w:szCs w:val="20"/>
              </w:rPr>
              <w:t>: In Uganda, while indigenous languages are used in lower primary education, they are excluded as mediums of instruction in higher levels, and indigenous knowledge is largely absent from formal curricula, constituting a form of distributive epistemic injustice </w:t>
            </w:r>
          </w:p>
        </w:tc>
        <w:tc>
          <w:tcPr>
            <w:tcW w:w="4961" w:type="dxa"/>
          </w:tcPr>
          <w:p w14:paraId="0000006F" w14:textId="77777777" w:rsidR="005C67AD" w:rsidRDefault="00000000">
            <w:pPr>
              <w:spacing w:after="160" w:line="259" w:lineRule="auto"/>
              <w:jc w:val="both"/>
              <w:rPr>
                <w:sz w:val="20"/>
                <w:szCs w:val="20"/>
              </w:rPr>
            </w:pPr>
            <w:r>
              <w:rPr>
                <w:b/>
                <w:sz w:val="20"/>
                <w:szCs w:val="20"/>
              </w:rPr>
              <w:t>Age-based epistemic injustice</w:t>
            </w:r>
            <w:r>
              <w:rPr>
                <w:sz w:val="20"/>
                <w:szCs w:val="20"/>
              </w:rPr>
              <w:t xml:space="preserve">: Children’s knowledge and perspectives are often discounted due to ageism. Adults may dismiss children’s views </w:t>
            </w:r>
            <w:proofErr w:type="gramStart"/>
            <w:r>
              <w:rPr>
                <w:sz w:val="20"/>
                <w:szCs w:val="20"/>
              </w:rPr>
              <w:t>on the basis of</w:t>
            </w:r>
            <w:proofErr w:type="gramEnd"/>
            <w:r>
              <w:rPr>
                <w:sz w:val="20"/>
                <w:szCs w:val="20"/>
              </w:rPr>
              <w:t xml:space="preserve"> immaturity, denying them credibility as knowers. This can happen in classrooms or </w:t>
            </w:r>
            <w:proofErr w:type="gramStart"/>
            <w:r>
              <w:rPr>
                <w:sz w:val="20"/>
                <w:szCs w:val="20"/>
              </w:rPr>
              <w:t>policy-making</w:t>
            </w:r>
            <w:proofErr w:type="gramEnd"/>
            <w:r>
              <w:rPr>
                <w:sz w:val="20"/>
                <w:szCs w:val="20"/>
              </w:rPr>
              <w:t xml:space="preserve"> where children are expected to be passive recipients rather than active contributors to knowledge. </w:t>
            </w:r>
          </w:p>
          <w:p w14:paraId="00000070" w14:textId="77777777" w:rsidR="005C67AD" w:rsidRDefault="00000000">
            <w:pPr>
              <w:spacing w:after="160" w:line="259" w:lineRule="auto"/>
              <w:jc w:val="both"/>
              <w:rPr>
                <w:sz w:val="20"/>
                <w:szCs w:val="20"/>
              </w:rPr>
            </w:pPr>
            <w:r>
              <w:rPr>
                <w:b/>
                <w:sz w:val="20"/>
                <w:szCs w:val="20"/>
              </w:rPr>
              <w:t>Language barriers as epistemic injustice</w:t>
            </w:r>
            <w:r>
              <w:rPr>
                <w:sz w:val="20"/>
                <w:szCs w:val="20"/>
              </w:rPr>
              <w:t>: Using a medium of instruction that learners do not fully comprehend (e.g., English in non-English speaking countries) can hinder access to knowledge and marginalize students’ epistemic agency. This has been observed in multilingual classrooms where students’ own languages are not used to support learning.</w:t>
            </w:r>
          </w:p>
          <w:p w14:paraId="00000071" w14:textId="77777777" w:rsidR="005C67AD" w:rsidRDefault="005C67AD">
            <w:pPr>
              <w:spacing w:line="259" w:lineRule="auto"/>
              <w:jc w:val="both"/>
              <w:rPr>
                <w:b/>
                <w:sz w:val="20"/>
                <w:szCs w:val="20"/>
              </w:rPr>
            </w:pPr>
          </w:p>
        </w:tc>
      </w:tr>
      <w:tr w:rsidR="005C67AD" w14:paraId="49AA3793" w14:textId="77777777">
        <w:tc>
          <w:tcPr>
            <w:tcW w:w="4248" w:type="dxa"/>
            <w:shd w:val="clear" w:color="auto" w:fill="E8E8E8"/>
          </w:tcPr>
          <w:p w14:paraId="00000072" w14:textId="77777777" w:rsidR="005C67AD" w:rsidRDefault="00000000">
            <w:pPr>
              <w:spacing w:line="259" w:lineRule="auto"/>
              <w:jc w:val="both"/>
              <w:rPr>
                <w:b/>
                <w:sz w:val="20"/>
                <w:szCs w:val="20"/>
              </w:rPr>
            </w:pPr>
            <w:r>
              <w:rPr>
                <w:b/>
                <w:sz w:val="20"/>
                <w:szCs w:val="20"/>
              </w:rPr>
              <w:t>Tian and Nutbrown, 2023</w:t>
            </w:r>
          </w:p>
        </w:tc>
        <w:tc>
          <w:tcPr>
            <w:tcW w:w="3827" w:type="dxa"/>
            <w:shd w:val="clear" w:color="auto" w:fill="E8E8E8"/>
          </w:tcPr>
          <w:p w14:paraId="00000073" w14:textId="77777777" w:rsidR="005C67AD" w:rsidRDefault="005C67AD">
            <w:pPr>
              <w:spacing w:line="259" w:lineRule="auto"/>
              <w:jc w:val="both"/>
              <w:rPr>
                <w:b/>
                <w:sz w:val="20"/>
                <w:szCs w:val="20"/>
              </w:rPr>
            </w:pPr>
          </w:p>
        </w:tc>
        <w:tc>
          <w:tcPr>
            <w:tcW w:w="4961" w:type="dxa"/>
            <w:shd w:val="clear" w:color="auto" w:fill="E8E8E8"/>
          </w:tcPr>
          <w:p w14:paraId="00000074" w14:textId="77777777" w:rsidR="005C67AD" w:rsidRDefault="005C67AD">
            <w:pPr>
              <w:spacing w:line="259" w:lineRule="auto"/>
              <w:jc w:val="both"/>
              <w:rPr>
                <w:b/>
                <w:sz w:val="20"/>
                <w:szCs w:val="20"/>
              </w:rPr>
            </w:pPr>
          </w:p>
        </w:tc>
      </w:tr>
      <w:tr w:rsidR="005C67AD" w14:paraId="2222D713" w14:textId="77777777">
        <w:tc>
          <w:tcPr>
            <w:tcW w:w="4248" w:type="dxa"/>
          </w:tcPr>
          <w:p w14:paraId="00000075" w14:textId="77777777" w:rsidR="005C67AD" w:rsidRDefault="00000000">
            <w:pPr>
              <w:spacing w:line="259" w:lineRule="auto"/>
              <w:jc w:val="both"/>
              <w:rPr>
                <w:sz w:val="20"/>
                <w:szCs w:val="20"/>
              </w:rPr>
            </w:pPr>
            <w:r>
              <w:rPr>
                <w:b/>
                <w:sz w:val="20"/>
                <w:szCs w:val="20"/>
              </w:rPr>
              <w:t>Testimonial injustice</w:t>
            </w:r>
            <w:r>
              <w:rPr>
                <w:sz w:val="20"/>
                <w:szCs w:val="20"/>
              </w:rPr>
              <w:t xml:space="preserve">: Happens when a person's credibility is unfairly deflated due to prejudices. For example, a teacher or student might not be listened to or </w:t>
            </w:r>
            <w:proofErr w:type="gramStart"/>
            <w:r>
              <w:rPr>
                <w:sz w:val="20"/>
                <w:szCs w:val="20"/>
              </w:rPr>
              <w:t>believed</w:t>
            </w:r>
            <w:proofErr w:type="gramEnd"/>
            <w:r>
              <w:rPr>
                <w:sz w:val="20"/>
                <w:szCs w:val="20"/>
              </w:rPr>
              <w:t xml:space="preserve"> because of their position, background, or other biases. This leads to their knowledge claims being undervalued or ignored </w:t>
            </w:r>
          </w:p>
        </w:tc>
        <w:tc>
          <w:tcPr>
            <w:tcW w:w="3827" w:type="dxa"/>
          </w:tcPr>
          <w:p w14:paraId="00000076" w14:textId="77777777" w:rsidR="005C67AD" w:rsidRDefault="00000000">
            <w:pPr>
              <w:spacing w:line="259" w:lineRule="auto"/>
              <w:jc w:val="both"/>
              <w:rPr>
                <w:sz w:val="20"/>
                <w:szCs w:val="20"/>
              </w:rPr>
            </w:pPr>
            <w:r>
              <w:rPr>
                <w:b/>
                <w:sz w:val="20"/>
                <w:szCs w:val="20"/>
              </w:rPr>
              <w:t>Hermeneutical injustice</w:t>
            </w:r>
            <w:r>
              <w:rPr>
                <w:sz w:val="20"/>
                <w:szCs w:val="20"/>
              </w:rPr>
              <w:t>: Occurs when individuals lack the concepts or language to make their experiences understandable to themselves or others. For instance, certain experiences might be dismissed or misunderstood because the relevant terms or frameworks are absent or controlled by dominant groups. This restricts the ability of marginalized individuals to articulate and share their knowledge or experiences effectively </w:t>
            </w:r>
          </w:p>
        </w:tc>
        <w:tc>
          <w:tcPr>
            <w:tcW w:w="4961" w:type="dxa"/>
          </w:tcPr>
          <w:p w14:paraId="00000077" w14:textId="77777777" w:rsidR="005C67AD" w:rsidRDefault="00000000">
            <w:pPr>
              <w:spacing w:line="259" w:lineRule="auto"/>
              <w:jc w:val="both"/>
              <w:rPr>
                <w:sz w:val="20"/>
                <w:szCs w:val="20"/>
              </w:rPr>
            </w:pPr>
            <w:r>
              <w:rPr>
                <w:b/>
                <w:sz w:val="20"/>
                <w:szCs w:val="20"/>
              </w:rPr>
              <w:t>Systemic injustice</w:t>
            </w:r>
            <w:r>
              <w:rPr>
                <w:sz w:val="20"/>
                <w:szCs w:val="20"/>
              </w:rPr>
              <w:t>: Involves structural and relational factors within the school system that perpetuate epistemic injustice. This includes the unequal distribution of epistemic resources (such as opportunities to participate in decision-making or leadership) and the erosion of individuals' confidence as knowers due to ongoing marginalization. Systemic injustices can damage individuals' intellectual autonomy and their ability to contribute knowledgeably to the school community </w:t>
            </w:r>
          </w:p>
        </w:tc>
      </w:tr>
      <w:tr w:rsidR="005C67AD" w14:paraId="2DA1B11F" w14:textId="77777777">
        <w:tc>
          <w:tcPr>
            <w:tcW w:w="13036" w:type="dxa"/>
            <w:gridSpan w:val="3"/>
            <w:shd w:val="clear" w:color="auto" w:fill="E8E8E8"/>
          </w:tcPr>
          <w:p w14:paraId="00000078" w14:textId="77777777" w:rsidR="005C67AD" w:rsidRDefault="00000000">
            <w:pPr>
              <w:spacing w:line="259" w:lineRule="auto"/>
              <w:jc w:val="both"/>
              <w:rPr>
                <w:b/>
                <w:sz w:val="20"/>
                <w:szCs w:val="20"/>
              </w:rPr>
            </w:pPr>
            <w:proofErr w:type="spellStart"/>
            <w:r>
              <w:rPr>
                <w:b/>
                <w:sz w:val="20"/>
                <w:szCs w:val="20"/>
              </w:rPr>
              <w:t>Odoman</w:t>
            </w:r>
            <w:proofErr w:type="spellEnd"/>
            <w:r>
              <w:rPr>
                <w:b/>
                <w:sz w:val="20"/>
                <w:szCs w:val="20"/>
              </w:rPr>
              <w:t>, 2023</w:t>
            </w:r>
          </w:p>
        </w:tc>
      </w:tr>
      <w:tr w:rsidR="005C67AD" w14:paraId="2F14B519" w14:textId="77777777">
        <w:tc>
          <w:tcPr>
            <w:tcW w:w="4248" w:type="dxa"/>
          </w:tcPr>
          <w:p w14:paraId="0000007B" w14:textId="77777777" w:rsidR="005C67AD" w:rsidRDefault="00000000">
            <w:pPr>
              <w:spacing w:line="259" w:lineRule="auto"/>
              <w:jc w:val="both"/>
              <w:rPr>
                <w:sz w:val="20"/>
                <w:szCs w:val="20"/>
              </w:rPr>
            </w:pPr>
            <w:r>
              <w:rPr>
                <w:b/>
                <w:sz w:val="20"/>
                <w:szCs w:val="20"/>
              </w:rPr>
              <w:t>Biased Curriculum Design:</w:t>
            </w:r>
            <w:r>
              <w:rPr>
                <w:sz w:val="20"/>
                <w:szCs w:val="20"/>
              </w:rPr>
              <w:t xml:space="preserve"> Curricula often prioritize dominant cultural narratives and perspectives, marginalizing or erasing the </w:t>
            </w:r>
            <w:r>
              <w:rPr>
                <w:sz w:val="20"/>
                <w:szCs w:val="20"/>
              </w:rPr>
              <w:lastRenderedPageBreak/>
              <w:t>contributions, histories, and knowledge systems of marginalized and underrepresented groups. For example, Indigenous knowledge is often sidelined or misrepresented, as seen in the Australian education system where Indigenous histories and experiences have been neglected or distorted </w:t>
            </w:r>
          </w:p>
        </w:tc>
        <w:tc>
          <w:tcPr>
            <w:tcW w:w="3827" w:type="dxa"/>
          </w:tcPr>
          <w:p w14:paraId="0000007C" w14:textId="77777777" w:rsidR="005C67AD" w:rsidRDefault="00000000">
            <w:pPr>
              <w:spacing w:after="160" w:line="259" w:lineRule="auto"/>
              <w:jc w:val="both"/>
              <w:rPr>
                <w:sz w:val="20"/>
                <w:szCs w:val="20"/>
              </w:rPr>
            </w:pPr>
            <w:r>
              <w:rPr>
                <w:b/>
                <w:sz w:val="20"/>
                <w:szCs w:val="20"/>
              </w:rPr>
              <w:lastRenderedPageBreak/>
              <w:t>Pedagogical Approaches:</w:t>
            </w:r>
            <w:r>
              <w:rPr>
                <w:sz w:val="20"/>
                <w:szCs w:val="20"/>
              </w:rPr>
              <w:t xml:space="preserve"> Teaching methods may favor traditional, authoritarian styles that emphasize rote </w:t>
            </w:r>
            <w:r>
              <w:rPr>
                <w:sz w:val="20"/>
                <w:szCs w:val="20"/>
              </w:rPr>
              <w:lastRenderedPageBreak/>
              <w:t xml:space="preserve">memorization and passive learning, which can marginalize students whose learning styles or cultural backgrounds differ. Additionally, privileging a dominant language variety (e.g., Standard American English) can silence or dismiss students from linguistically diverse backgrounds, further perpetuating epistemic </w:t>
            </w:r>
            <w:proofErr w:type="gramStart"/>
            <w:r>
              <w:rPr>
                <w:sz w:val="20"/>
                <w:szCs w:val="20"/>
              </w:rPr>
              <w:t>injustice .</w:t>
            </w:r>
            <w:proofErr w:type="gramEnd"/>
            <w:r>
              <w:rPr>
                <w:sz w:val="20"/>
                <w:szCs w:val="20"/>
              </w:rPr>
              <w:t xml:space="preserve"> </w:t>
            </w:r>
          </w:p>
        </w:tc>
        <w:tc>
          <w:tcPr>
            <w:tcW w:w="4961" w:type="dxa"/>
          </w:tcPr>
          <w:p w14:paraId="0000007D" w14:textId="77777777" w:rsidR="005C67AD" w:rsidRDefault="00000000">
            <w:pPr>
              <w:spacing w:line="259" w:lineRule="auto"/>
              <w:jc w:val="both"/>
              <w:rPr>
                <w:sz w:val="20"/>
                <w:szCs w:val="20"/>
              </w:rPr>
            </w:pPr>
            <w:r>
              <w:rPr>
                <w:b/>
                <w:sz w:val="20"/>
                <w:szCs w:val="20"/>
              </w:rPr>
              <w:lastRenderedPageBreak/>
              <w:t>Assessment Methods:</w:t>
            </w:r>
            <w:r>
              <w:rPr>
                <w:sz w:val="20"/>
                <w:szCs w:val="20"/>
              </w:rPr>
              <w:t xml:space="preserve"> Standardized tests and subjective grading practices may reflect cultural and socioeconomic biases that disadvantage marginalized </w:t>
            </w:r>
            <w:r>
              <w:rPr>
                <w:sz w:val="20"/>
                <w:szCs w:val="20"/>
              </w:rPr>
              <w:lastRenderedPageBreak/>
              <w:t>students. Such assessments often favor knowledge and skills aligned with dominant groups, undervaluing alternative forms of knowledge and contributing to unequal educational outcomes</w:t>
            </w:r>
          </w:p>
        </w:tc>
      </w:tr>
      <w:tr w:rsidR="005C67AD" w14:paraId="48745AD2" w14:textId="77777777">
        <w:tc>
          <w:tcPr>
            <w:tcW w:w="13036" w:type="dxa"/>
            <w:gridSpan w:val="3"/>
            <w:shd w:val="clear" w:color="auto" w:fill="E8E8E8"/>
          </w:tcPr>
          <w:p w14:paraId="0000007E" w14:textId="77777777" w:rsidR="005C67AD" w:rsidRDefault="00000000">
            <w:pPr>
              <w:spacing w:line="259" w:lineRule="auto"/>
              <w:jc w:val="both"/>
              <w:rPr>
                <w:b/>
                <w:sz w:val="20"/>
                <w:szCs w:val="20"/>
              </w:rPr>
            </w:pPr>
            <w:r>
              <w:rPr>
                <w:b/>
                <w:sz w:val="20"/>
                <w:szCs w:val="20"/>
              </w:rPr>
              <w:lastRenderedPageBreak/>
              <w:t>Atias et al. 2024</w:t>
            </w:r>
          </w:p>
        </w:tc>
      </w:tr>
      <w:tr w:rsidR="005C67AD" w14:paraId="32CD02DB" w14:textId="77777777">
        <w:tc>
          <w:tcPr>
            <w:tcW w:w="4248" w:type="dxa"/>
          </w:tcPr>
          <w:p w14:paraId="00000081" w14:textId="77777777" w:rsidR="005C67AD" w:rsidRDefault="00000000">
            <w:pPr>
              <w:spacing w:after="160" w:line="259" w:lineRule="auto"/>
              <w:jc w:val="both"/>
              <w:rPr>
                <w:sz w:val="20"/>
                <w:szCs w:val="20"/>
              </w:rPr>
            </w:pPr>
            <w:r>
              <w:rPr>
                <w:b/>
                <w:sz w:val="20"/>
                <w:szCs w:val="20"/>
              </w:rPr>
              <w:t>Testimonial Injustice</w:t>
            </w:r>
            <w:r>
              <w:rPr>
                <w:sz w:val="20"/>
                <w:szCs w:val="20"/>
              </w:rPr>
              <w:t xml:space="preserve">: Occurs when students or teachers are attributed </w:t>
            </w:r>
            <w:proofErr w:type="gramStart"/>
            <w:r>
              <w:rPr>
                <w:sz w:val="20"/>
                <w:szCs w:val="20"/>
              </w:rPr>
              <w:t>with</w:t>
            </w:r>
            <w:proofErr w:type="gramEnd"/>
            <w:r>
              <w:rPr>
                <w:sz w:val="20"/>
                <w:szCs w:val="20"/>
              </w:rPr>
              <w:t xml:space="preserve"> less credibility than they deserve, leading to their knowledge not being regarded as valuable enough to be expressed or heard.</w:t>
            </w:r>
          </w:p>
          <w:p w14:paraId="00000082" w14:textId="77777777" w:rsidR="005C67AD" w:rsidRDefault="00000000">
            <w:pPr>
              <w:spacing w:after="160" w:line="259" w:lineRule="auto"/>
              <w:jc w:val="both"/>
              <w:rPr>
                <w:sz w:val="20"/>
                <w:szCs w:val="20"/>
              </w:rPr>
            </w:pPr>
            <w:r>
              <w:rPr>
                <w:b/>
                <w:sz w:val="20"/>
                <w:szCs w:val="20"/>
              </w:rPr>
              <w:t>Hermeneutical Injustice</w:t>
            </w:r>
            <w:r>
              <w:rPr>
                <w:sz w:val="20"/>
                <w:szCs w:val="20"/>
              </w:rPr>
              <w:t>: Happens when students' or teachers' perceptions and experiences are unjustifiably disregarded in research questions, practices, or interpretation of findings, which reduces their capacity for meaning-making or meaning-sharing of their own lived experiences.</w:t>
            </w:r>
          </w:p>
        </w:tc>
        <w:tc>
          <w:tcPr>
            <w:tcW w:w="3827" w:type="dxa"/>
          </w:tcPr>
          <w:p w14:paraId="00000083" w14:textId="77777777" w:rsidR="005C67AD" w:rsidRDefault="00000000">
            <w:pPr>
              <w:spacing w:after="160" w:line="259" w:lineRule="auto"/>
              <w:jc w:val="both"/>
              <w:rPr>
                <w:sz w:val="20"/>
                <w:szCs w:val="20"/>
              </w:rPr>
            </w:pPr>
            <w:r>
              <w:rPr>
                <w:b/>
                <w:sz w:val="20"/>
                <w:szCs w:val="20"/>
              </w:rPr>
              <w:t>Participatory Injustice</w:t>
            </w:r>
            <w:r>
              <w:rPr>
                <w:sz w:val="20"/>
                <w:szCs w:val="20"/>
              </w:rPr>
              <w:t xml:space="preserve">: Arises when students or teachers are restricted in their capacity to impactfully participate in scientific knowledge building, even when they </w:t>
            </w:r>
            <w:proofErr w:type="gramStart"/>
            <w:r>
              <w:rPr>
                <w:sz w:val="20"/>
                <w:szCs w:val="20"/>
              </w:rPr>
              <w:t>are able to</w:t>
            </w:r>
            <w:proofErr w:type="gramEnd"/>
            <w:r>
              <w:rPr>
                <w:sz w:val="20"/>
                <w:szCs w:val="20"/>
              </w:rPr>
              <w:t xml:space="preserve"> make significant contributions.</w:t>
            </w:r>
          </w:p>
          <w:p w14:paraId="00000084" w14:textId="77777777" w:rsidR="005C67AD" w:rsidRDefault="005C67AD">
            <w:pPr>
              <w:spacing w:line="259" w:lineRule="auto"/>
              <w:jc w:val="both"/>
              <w:rPr>
                <w:sz w:val="20"/>
                <w:szCs w:val="20"/>
              </w:rPr>
            </w:pPr>
          </w:p>
        </w:tc>
        <w:tc>
          <w:tcPr>
            <w:tcW w:w="4961" w:type="dxa"/>
          </w:tcPr>
          <w:p w14:paraId="00000085" w14:textId="77777777" w:rsidR="005C67AD" w:rsidRDefault="00000000">
            <w:pPr>
              <w:spacing w:line="259" w:lineRule="auto"/>
              <w:jc w:val="both"/>
              <w:rPr>
                <w:sz w:val="20"/>
                <w:szCs w:val="20"/>
              </w:rPr>
            </w:pPr>
            <w:r>
              <w:rPr>
                <w:b/>
                <w:sz w:val="20"/>
                <w:szCs w:val="20"/>
              </w:rPr>
              <w:t>Formative Injustice</w:t>
            </w:r>
            <w:r>
              <w:rPr>
                <w:sz w:val="20"/>
                <w:szCs w:val="20"/>
              </w:rPr>
              <w:t xml:space="preserve">: Involves undue restrictions on students' or teachers' pathways to develop as knowers, or limitations in their capacity as knowers that prevent personal growth. </w:t>
            </w:r>
          </w:p>
        </w:tc>
      </w:tr>
    </w:tbl>
    <w:p w14:paraId="00000086" w14:textId="77777777" w:rsidR="005C67AD" w:rsidRDefault="00000000">
      <w:pPr>
        <w:spacing w:before="120" w:after="0"/>
        <w:jc w:val="both"/>
        <w:rPr>
          <w:b/>
        </w:rPr>
      </w:pPr>
      <w:r>
        <w:rPr>
          <w:b/>
        </w:rPr>
        <w:t>Table 1: Typologies of epistemic injustice in education</w:t>
      </w:r>
    </w:p>
    <w:p w14:paraId="00000087" w14:textId="77777777" w:rsidR="005C67AD" w:rsidRDefault="00000000">
      <w:pPr>
        <w:spacing w:before="120" w:after="0" w:line="276" w:lineRule="auto"/>
        <w:jc w:val="both"/>
        <w:rPr>
          <w:sz w:val="24"/>
          <w:szCs w:val="24"/>
        </w:rPr>
        <w:sectPr w:rsidR="005C67AD">
          <w:pgSz w:w="15840" w:h="12240" w:orient="landscape"/>
          <w:pgMar w:top="1440" w:right="1440" w:bottom="1440" w:left="1440" w:header="720" w:footer="720" w:gutter="0"/>
          <w:cols w:space="720"/>
        </w:sectPr>
      </w:pPr>
      <w:r>
        <w:rPr>
          <w:sz w:val="24"/>
          <w:szCs w:val="24"/>
        </w:rPr>
        <w:t xml:space="preserve"> Tia and Nutbrown (2023) also mention examples of epistemic injustice related to school principals’ practices when: a) school principals favoring certain teachers for leadership roles based on similarity or favoritism, excluding others from epistemic participation (testimonial injustice) ; b) school  principals empower only those teachers whose knowledge aligns with organizational goals, thereby silencing personal priorities or dissenting voices (testimonial and systemic injustice); c) when school principals allow teacher participation in decision-making but only valuing views that align with leaders' visions, effectively silencing alternative perspectives (testimonial injustice), when school principals promote micropolitical dynamics where experienced teachers dominate social capital and novices are assigned more challenging tasks, making it difficult for novices to have their knowledge and experiences recognized (hermeneutical and systemic injustice). </w:t>
      </w:r>
    </w:p>
    <w:p w14:paraId="00000088" w14:textId="77777777" w:rsidR="005C67AD" w:rsidRDefault="00000000">
      <w:pPr>
        <w:pBdr>
          <w:top w:val="nil"/>
          <w:left w:val="nil"/>
          <w:bottom w:val="nil"/>
          <w:right w:val="nil"/>
          <w:between w:val="nil"/>
        </w:pBdr>
        <w:spacing w:after="0" w:line="360" w:lineRule="auto"/>
        <w:jc w:val="both"/>
        <w:rPr>
          <w:rFonts w:ascii="Calibri" w:eastAsia="Calibri" w:hAnsi="Calibri" w:cs="Calibri"/>
          <w:color w:val="000000"/>
          <w:sz w:val="24"/>
          <w:szCs w:val="24"/>
        </w:rPr>
      </w:pPr>
      <w:r>
        <w:rPr>
          <w:noProof/>
        </w:rPr>
        <w:lastRenderedPageBreak/>
        <mc:AlternateContent>
          <mc:Choice Requires="wpg">
            <w:drawing>
              <wp:anchor distT="0" distB="0" distL="114300" distR="114300" simplePos="0" relativeHeight="251663360" behindDoc="0" locked="0" layoutInCell="1" hidden="0" allowOverlap="1">
                <wp:simplePos x="0" y="0"/>
                <wp:positionH relativeFrom="column">
                  <wp:posOffset>-253999</wp:posOffset>
                </wp:positionH>
                <wp:positionV relativeFrom="paragraph">
                  <wp:posOffset>254000</wp:posOffset>
                </wp:positionV>
                <wp:extent cx="6454775" cy="1800225"/>
                <wp:effectExtent l="0" t="0" r="0" b="0"/>
                <wp:wrapNone/>
                <wp:docPr id="2025443583" name="Rectangle: Rounded Corners 2025443583"/>
                <wp:cNvGraphicFramePr/>
                <a:graphic xmlns:a="http://schemas.openxmlformats.org/drawingml/2006/main">
                  <a:graphicData uri="http://schemas.microsoft.com/office/word/2010/wordprocessingShape">
                    <wps:wsp>
                      <wps:cNvSpPr/>
                      <wps:spPr>
                        <a:xfrm>
                          <a:off x="2123375" y="2884650"/>
                          <a:ext cx="6445250" cy="1790700"/>
                        </a:xfrm>
                        <a:prstGeom prst="roundRect">
                          <a:avLst>
                            <a:gd name="adj" fmla="val 16667"/>
                          </a:avLst>
                        </a:prstGeom>
                        <a:gradFill>
                          <a:gsLst>
                            <a:gs pos="0">
                              <a:srgbClr val="9BADBE"/>
                            </a:gs>
                            <a:gs pos="50000">
                              <a:srgbClr val="8DA1B2"/>
                            </a:gs>
                            <a:gs pos="100000">
                              <a:srgbClr val="7893AA"/>
                            </a:gs>
                          </a:gsLst>
                          <a:lin ang="5400000" scaled="0"/>
                        </a:gradFill>
                        <a:ln w="9525" cap="flat" cmpd="sng">
                          <a:solidFill>
                            <a:srgbClr val="156082"/>
                          </a:solidFill>
                          <a:prstDash val="solid"/>
                          <a:miter lim="800000"/>
                          <a:headEnd type="none" w="sm" len="sm"/>
                          <a:tailEnd type="none" w="sm" len="sm"/>
                        </a:ln>
                      </wps:spPr>
                      <wps:txbx>
                        <w:txbxContent>
                          <w:p w14:paraId="3A89C4CC" w14:textId="77777777" w:rsidR="005C67AD" w:rsidRDefault="00000000">
                            <w:pPr>
                              <w:spacing w:after="0" w:line="360" w:lineRule="auto"/>
                              <w:ind w:left="720" w:firstLine="360"/>
                              <w:textDirection w:val="btLr"/>
                            </w:pPr>
                            <w:r>
                              <w:rPr>
                                <w:b/>
                                <w:color w:val="000000"/>
                                <w:sz w:val="24"/>
                              </w:rPr>
                              <w:t>EXIT EXAM: Work in groups (20 minutes)</w:t>
                            </w:r>
                          </w:p>
                          <w:p w14:paraId="524FA771" w14:textId="77777777" w:rsidR="005C67AD" w:rsidRDefault="00000000">
                            <w:pPr>
                              <w:spacing w:after="0" w:line="360" w:lineRule="auto"/>
                              <w:ind w:left="720" w:firstLine="360"/>
                              <w:textDirection w:val="btLr"/>
                            </w:pPr>
                            <w:r>
                              <w:rPr>
                                <w:b/>
                                <w:color w:val="000000"/>
                                <w:sz w:val="24"/>
                              </w:rPr>
                              <w:t xml:space="preserve">Based on the theoretical tools described below, present possible cases of epistemic wrongs and epistemic harms in your school community. </w:t>
                            </w:r>
                          </w:p>
                          <w:p w14:paraId="54D77204" w14:textId="77777777" w:rsidR="005C67AD" w:rsidRDefault="00000000">
                            <w:pPr>
                              <w:spacing w:after="0" w:line="360" w:lineRule="auto"/>
                              <w:ind w:left="720" w:firstLine="360"/>
                              <w:textDirection w:val="btLr"/>
                            </w:pPr>
                            <w:r>
                              <w:rPr>
                                <w:b/>
                                <w:color w:val="000000"/>
                                <w:sz w:val="24"/>
                              </w:rPr>
                              <w:t>Based on your expertise and the content of this module, describe a strategic action plan to promote epistemic justice in your school.</w:t>
                            </w:r>
                          </w:p>
                        </w:txbxContent>
                      </wps:txbx>
                      <wps:bodyPr spcFirstLastPara="1" wrap="square" lIns="91425" tIns="45700" rIns="91425" bIns="45700"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-253999</wp:posOffset>
                </wp:positionH>
                <wp:positionV relativeFrom="paragraph">
                  <wp:posOffset>254000</wp:posOffset>
                </wp:positionV>
                <wp:extent cx="6454775" cy="1800225"/>
                <wp:effectExtent b="0" l="0" r="0" t="0"/>
                <wp:wrapNone/>
                <wp:docPr id="2025443583"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6454775" cy="1800225"/>
                        </a:xfrm>
                        <a:prstGeom prst="rect"/>
                        <a:ln/>
                      </pic:spPr>
                    </pic:pic>
                  </a:graphicData>
                </a:graphic>
              </wp:anchor>
            </w:drawing>
          </mc:Fallback>
        </mc:AlternateContent>
      </w:r>
    </w:p>
    <w:p w14:paraId="00000089" w14:textId="77777777" w:rsidR="005C67AD" w:rsidRDefault="005C67AD">
      <w:pPr>
        <w:pBdr>
          <w:top w:val="nil"/>
          <w:left w:val="nil"/>
          <w:bottom w:val="nil"/>
          <w:right w:val="nil"/>
          <w:between w:val="nil"/>
        </w:pBdr>
        <w:spacing w:after="0" w:line="360" w:lineRule="auto"/>
        <w:jc w:val="both"/>
        <w:rPr>
          <w:rFonts w:ascii="Calibri" w:eastAsia="Calibri" w:hAnsi="Calibri" w:cs="Calibri"/>
          <w:color w:val="000000"/>
          <w:sz w:val="24"/>
          <w:szCs w:val="24"/>
        </w:rPr>
      </w:pPr>
    </w:p>
    <w:p w14:paraId="0000008A" w14:textId="77777777" w:rsidR="005C67AD" w:rsidRDefault="005C67AD">
      <w:pPr>
        <w:pBdr>
          <w:top w:val="nil"/>
          <w:left w:val="nil"/>
          <w:bottom w:val="nil"/>
          <w:right w:val="nil"/>
          <w:between w:val="nil"/>
        </w:pBdr>
        <w:spacing w:after="0" w:line="360" w:lineRule="auto"/>
        <w:jc w:val="both"/>
        <w:rPr>
          <w:rFonts w:ascii="Calibri" w:eastAsia="Calibri" w:hAnsi="Calibri" w:cs="Calibri"/>
          <w:color w:val="000000"/>
          <w:sz w:val="24"/>
          <w:szCs w:val="24"/>
        </w:rPr>
      </w:pPr>
    </w:p>
    <w:p w14:paraId="0000008B" w14:textId="77777777" w:rsidR="005C67AD" w:rsidRDefault="005C67AD">
      <w:pPr>
        <w:pBdr>
          <w:top w:val="nil"/>
          <w:left w:val="nil"/>
          <w:bottom w:val="nil"/>
          <w:right w:val="nil"/>
          <w:between w:val="nil"/>
        </w:pBdr>
        <w:spacing w:after="0" w:line="360" w:lineRule="auto"/>
        <w:jc w:val="both"/>
        <w:rPr>
          <w:rFonts w:ascii="Calibri" w:eastAsia="Calibri" w:hAnsi="Calibri" w:cs="Calibri"/>
          <w:color w:val="000000"/>
          <w:sz w:val="24"/>
          <w:szCs w:val="24"/>
        </w:rPr>
      </w:pPr>
    </w:p>
    <w:p w14:paraId="0000008C" w14:textId="77777777" w:rsidR="005C67AD" w:rsidRDefault="005C67AD">
      <w:pPr>
        <w:spacing w:line="259" w:lineRule="auto"/>
        <w:jc w:val="both"/>
      </w:pPr>
      <w:bookmarkStart w:id="8" w:name="_heading=h.gsud1i2ucjax" w:colFirst="0" w:colLast="0"/>
      <w:bookmarkEnd w:id="8"/>
    </w:p>
    <w:p w14:paraId="0000008D" w14:textId="77777777" w:rsidR="005C67AD" w:rsidRDefault="005C67AD">
      <w:pPr>
        <w:spacing w:line="259" w:lineRule="auto"/>
        <w:jc w:val="both"/>
        <w:rPr>
          <w:b/>
          <w:color w:val="C00000"/>
        </w:rPr>
      </w:pPr>
    </w:p>
    <w:p w14:paraId="0000008E" w14:textId="77777777" w:rsidR="005C67AD" w:rsidRDefault="005C67AD">
      <w:pPr>
        <w:spacing w:line="259" w:lineRule="auto"/>
        <w:jc w:val="both"/>
        <w:rPr>
          <w:b/>
          <w:color w:val="C00000"/>
        </w:rPr>
      </w:pPr>
    </w:p>
    <w:p w14:paraId="0000008F" w14:textId="77777777" w:rsidR="005C67AD" w:rsidRDefault="005C67AD">
      <w:pPr>
        <w:spacing w:line="259" w:lineRule="auto"/>
        <w:jc w:val="both"/>
        <w:rPr>
          <w:b/>
          <w:color w:val="C00000"/>
        </w:rPr>
      </w:pPr>
    </w:p>
    <w:p w14:paraId="00000090" w14:textId="77777777" w:rsidR="005C67AD" w:rsidRDefault="00000000">
      <w:pPr>
        <w:spacing w:line="259" w:lineRule="auto"/>
        <w:jc w:val="both"/>
      </w:pPr>
      <w:r>
        <w:rPr>
          <w:b/>
          <w:color w:val="C00000"/>
        </w:rPr>
        <w:t>Epistemic justice</w:t>
      </w:r>
      <w:r>
        <w:rPr>
          <w:color w:val="C00000"/>
        </w:rPr>
        <w:t xml:space="preserve"> </w:t>
      </w:r>
      <w:r>
        <w:t xml:space="preserve">has been defined as “equality in the production, recognition and consumption of knowledge” (Hall, </w:t>
      </w:r>
      <w:proofErr w:type="spellStart"/>
      <w:r>
        <w:t>Godrie</w:t>
      </w:r>
      <w:proofErr w:type="spellEnd"/>
      <w:r>
        <w:t xml:space="preserve"> and Heck 2020, 35). It focuses not only on recognizing multiple forms of knowledge but also on promoting equality in how knowledge is accessed, distributed, and produced within society and educational settings. Epistemic justice seeks to right the wrongs committed by epistemic injustices, which occur when certain individuals or groups are marginalized or discredited in their capacity as knowers due to social power structures. It involves acknowledging the validity and importance of diverse perspectives and forms of knowledge, including those of marginalized or subaltern groups. </w:t>
      </w:r>
    </w:p>
    <w:p w14:paraId="00000091" w14:textId="77777777" w:rsidR="005C67AD" w:rsidRDefault="00000000">
      <w:pPr>
        <w:spacing w:line="259" w:lineRule="auto"/>
        <w:jc w:val="both"/>
      </w:pPr>
      <w:r>
        <w:t xml:space="preserve">In addition, epistemic injustice has been found to create both </w:t>
      </w:r>
      <w:r>
        <w:rPr>
          <w:b/>
          <w:color w:val="C00000"/>
        </w:rPr>
        <w:t xml:space="preserve">epistemic wrongs </w:t>
      </w:r>
      <w:r>
        <w:rPr>
          <w:b/>
        </w:rPr>
        <w:t>(</w:t>
      </w:r>
      <w:r>
        <w:t xml:space="preserve">breaches of epistemic duties owed to an agent as a knower, </w:t>
      </w:r>
      <w:proofErr w:type="spellStart"/>
      <w:r>
        <w:t>i.e</w:t>
      </w:r>
      <w:proofErr w:type="spellEnd"/>
      <w:r>
        <w:t xml:space="preserve"> a violation of epistemic rights), and </w:t>
      </w:r>
      <w:r>
        <w:rPr>
          <w:b/>
          <w:color w:val="C00000"/>
        </w:rPr>
        <w:t>epistemic harms</w:t>
      </w:r>
      <w:r>
        <w:rPr>
          <w:color w:val="C00000"/>
        </w:rPr>
        <w:t xml:space="preserve"> </w:t>
      </w:r>
      <w:r>
        <w:t>(the resultant damage or negative impact on the agent's epistemic agency, making them worse off epistemically) (Dune and Kotsonis, 2023).</w:t>
      </w:r>
    </w:p>
    <w:p w14:paraId="00000092" w14:textId="77777777" w:rsidR="005C67AD" w:rsidRDefault="00000000">
      <w:pPr>
        <w:rPr>
          <w:b/>
        </w:rPr>
      </w:pPr>
      <w:r>
        <w:t xml:space="preserve">Finally, </w:t>
      </w:r>
      <w:proofErr w:type="spellStart"/>
      <w:r>
        <w:t>Pohlhaus</w:t>
      </w:r>
      <w:proofErr w:type="spellEnd"/>
      <w:r>
        <w:t>, 2020</w:t>
      </w:r>
      <w:r>
        <w:rPr>
          <w:b/>
        </w:rPr>
        <w:t xml:space="preserve"> </w:t>
      </w:r>
      <w:r>
        <w:rPr>
          <w:rFonts w:ascii="Calibri" w:eastAsia="Calibri" w:hAnsi="Calibri" w:cs="Calibri"/>
          <w:sz w:val="24"/>
          <w:szCs w:val="24"/>
        </w:rPr>
        <w:t xml:space="preserve">argued that one solution against the epistemic injustices caused by disinformation would be to create “good echo chambers” promoting </w:t>
      </w:r>
      <w:r>
        <w:rPr>
          <w:rFonts w:ascii="Calibri" w:eastAsia="Calibri" w:hAnsi="Calibri" w:cs="Calibri"/>
          <w:b/>
          <w:sz w:val="24"/>
          <w:szCs w:val="24"/>
        </w:rPr>
        <w:t xml:space="preserve">survival and resistance echoing. </w:t>
      </w:r>
    </w:p>
    <w:p w14:paraId="00000093" w14:textId="77777777" w:rsidR="005C67AD" w:rsidRDefault="00000000">
      <w:pPr>
        <w:numPr>
          <w:ilvl w:val="0"/>
          <w:numId w:val="2"/>
        </w:numPr>
        <w:spacing w:line="259" w:lineRule="auto"/>
      </w:pPr>
      <w:r>
        <w:rPr>
          <w:b/>
          <w:color w:val="C00000"/>
        </w:rPr>
        <w:t>Survival Echoing</w:t>
      </w:r>
      <w:r>
        <w:t>: This form of echoing involves withdrawing from conditions of structural epistemic gaslighting. It is a kind of epistemic labor that helps maintain warranted self-trust and stability of beliefs in the face of unwarranted epistemic pressures to doubt them. Survival echoing provides support for beliefs to those under systematic and structural epistemic gaslighting, countering the effects of gaslighting by affirming one's experiences and knowledge 9.</w:t>
      </w:r>
    </w:p>
    <w:p w14:paraId="00000094" w14:textId="77777777" w:rsidR="005C67AD" w:rsidRDefault="00000000">
      <w:pPr>
        <w:numPr>
          <w:ilvl w:val="0"/>
          <w:numId w:val="2"/>
        </w:numPr>
        <w:spacing w:line="259" w:lineRule="auto"/>
      </w:pPr>
      <w:r>
        <w:rPr>
          <w:b/>
          <w:color w:val="C00000"/>
        </w:rPr>
        <w:t>Resistance Echoing</w:t>
      </w:r>
      <w:r>
        <w:rPr>
          <w:color w:val="C00000"/>
        </w:rPr>
        <w:t xml:space="preserve">: </w:t>
      </w:r>
      <w:r>
        <w:t xml:space="preserve">This form of echoing involves actively confronting epistemic structures that gaslight. Resistance echoing attempts to bolster a claim so that it may press upon others beyond those for whom the claim is already situationally pressing. It is a collective sustained attention that helps to bring parts of the experienced world, which are usually ignored due to gaslighting, to wider attention and can help dismantle structures that support epistemic gaslighting. Resistance echoing is more than mere repetition; it is when acts resonate in </w:t>
      </w:r>
      <w:proofErr w:type="gramStart"/>
      <w:r>
        <w:t>many different ways</w:t>
      </w:r>
      <w:proofErr w:type="gramEnd"/>
      <w:r>
        <w:t xml:space="preserve"> across social networks and movements, disrupting entrenched forms of social ignorance. </w:t>
      </w:r>
    </w:p>
    <w:p w14:paraId="00000095" w14:textId="77777777" w:rsidR="005C67AD" w:rsidRDefault="00000000">
      <w:pPr>
        <w:spacing w:after="120" w:line="360" w:lineRule="auto"/>
        <w:jc w:val="both"/>
        <w:rPr>
          <w:b/>
          <w:sz w:val="24"/>
          <w:szCs w:val="24"/>
        </w:rPr>
      </w:pPr>
      <w:r>
        <w:rPr>
          <w:b/>
          <w:sz w:val="24"/>
          <w:szCs w:val="24"/>
        </w:rPr>
        <w:lastRenderedPageBreak/>
        <w:t>References (indicative)</w:t>
      </w:r>
    </w:p>
    <w:p w14:paraId="00000096" w14:textId="77777777" w:rsidR="005C67AD" w:rsidRDefault="00000000">
      <w:pPr>
        <w:pBdr>
          <w:top w:val="nil"/>
          <w:left w:val="nil"/>
          <w:bottom w:val="nil"/>
          <w:right w:val="nil"/>
          <w:between w:val="nil"/>
        </w:pBdr>
        <w:spacing w:after="0" w:line="360" w:lineRule="auto"/>
        <w:jc w:val="both"/>
        <w:rPr>
          <w:color w:val="000000"/>
        </w:rPr>
      </w:pPr>
      <w:r>
        <w:rPr>
          <w:color w:val="000000"/>
        </w:rPr>
        <w:t>Abramson, K. (2014). Turning up the lights on gaslighting. </w:t>
      </w:r>
      <w:r>
        <w:rPr>
          <w:i/>
          <w:color w:val="000000"/>
        </w:rPr>
        <w:t>Philosophical perspectives</w:t>
      </w:r>
      <w:r>
        <w:rPr>
          <w:color w:val="000000"/>
        </w:rPr>
        <w:t>, </w:t>
      </w:r>
      <w:r>
        <w:rPr>
          <w:i/>
          <w:color w:val="000000"/>
        </w:rPr>
        <w:t>28</w:t>
      </w:r>
      <w:r>
        <w:rPr>
          <w:color w:val="000000"/>
        </w:rPr>
        <w:t>, 1-30.</w:t>
      </w:r>
    </w:p>
    <w:p w14:paraId="00000097" w14:textId="77777777" w:rsidR="005C67AD" w:rsidRDefault="00000000">
      <w:pPr>
        <w:spacing w:after="120" w:line="360" w:lineRule="auto"/>
        <w:jc w:val="both"/>
      </w:pPr>
      <w:r>
        <w:t>Achterberg, P., De Koster, W., &amp; Van der Waal, J. (2017). A science confidence gap: Education, trust in scientific methods, and trust in scientific institutions in the United States, 2014. </w:t>
      </w:r>
      <w:r>
        <w:rPr>
          <w:i/>
        </w:rPr>
        <w:t>Public Understanding of Science</w:t>
      </w:r>
      <w:r>
        <w:t>, </w:t>
      </w:r>
      <w:r>
        <w:rPr>
          <w:i/>
        </w:rPr>
        <w:t>26</w:t>
      </w:r>
      <w:r>
        <w:t>(6), 704-720.</w:t>
      </w:r>
    </w:p>
    <w:p w14:paraId="00000098" w14:textId="77777777" w:rsidR="005C67AD" w:rsidRDefault="00000000">
      <w:pPr>
        <w:pBdr>
          <w:top w:val="nil"/>
          <w:left w:val="nil"/>
          <w:bottom w:val="nil"/>
          <w:right w:val="nil"/>
          <w:between w:val="nil"/>
        </w:pBdr>
        <w:spacing w:after="0" w:line="360" w:lineRule="auto"/>
        <w:jc w:val="both"/>
        <w:rPr>
          <w:color w:val="000000"/>
        </w:rPr>
      </w:pPr>
      <w:r>
        <w:rPr>
          <w:color w:val="000000"/>
        </w:rPr>
        <w:t>AlSabbagh, Z. A. A. (2023). Gaslighting in the Classroom: Teacher-Student Gaslighting. </w:t>
      </w:r>
      <w:r>
        <w:rPr>
          <w:i/>
          <w:color w:val="000000"/>
        </w:rPr>
        <w:t>Research Gate</w:t>
      </w:r>
      <w:r>
        <w:rPr>
          <w:color w:val="000000"/>
        </w:rPr>
        <w:t>, </w:t>
      </w:r>
      <w:r>
        <w:rPr>
          <w:i/>
          <w:color w:val="000000"/>
        </w:rPr>
        <w:t>374372820</w:t>
      </w:r>
      <w:r>
        <w:rPr>
          <w:color w:val="000000"/>
        </w:rPr>
        <w:t>.</w:t>
      </w:r>
    </w:p>
    <w:p w14:paraId="00000099" w14:textId="77777777" w:rsidR="005C67AD" w:rsidRDefault="00000000">
      <w:r>
        <w:t>Barzilai, S., &amp; Chinn, C. A. (2020). A review of educational responses to the “post-truth” condition: Four lenses on “post-truth” problems. </w:t>
      </w:r>
      <w:r>
        <w:rPr>
          <w:i/>
        </w:rPr>
        <w:t>Educational psychologist</w:t>
      </w:r>
      <w:r>
        <w:t>, </w:t>
      </w:r>
      <w:r>
        <w:rPr>
          <w:i/>
        </w:rPr>
        <w:t>55</w:t>
      </w:r>
      <w:r>
        <w:t>(3), 107-119.</w:t>
      </w:r>
    </w:p>
    <w:p w14:paraId="0000009A" w14:textId="77777777" w:rsidR="005C67AD" w:rsidRDefault="00000000">
      <w:pPr>
        <w:pBdr>
          <w:top w:val="nil"/>
          <w:left w:val="nil"/>
          <w:bottom w:val="nil"/>
          <w:right w:val="nil"/>
          <w:between w:val="nil"/>
        </w:pBdr>
        <w:spacing w:after="0" w:line="360" w:lineRule="auto"/>
        <w:jc w:val="both"/>
        <w:rPr>
          <w:color w:val="000000"/>
        </w:rPr>
      </w:pPr>
      <w:r>
        <w:rPr>
          <w:color w:val="000000"/>
        </w:rPr>
        <w:t>Berenstain, N. (2020). White feminist gaslighting. </w:t>
      </w:r>
      <w:r>
        <w:rPr>
          <w:i/>
          <w:color w:val="000000"/>
        </w:rPr>
        <w:t>Hypatia</w:t>
      </w:r>
      <w:r>
        <w:rPr>
          <w:color w:val="000000"/>
        </w:rPr>
        <w:t>, </w:t>
      </w:r>
      <w:r>
        <w:rPr>
          <w:i/>
          <w:color w:val="000000"/>
        </w:rPr>
        <w:t>35</w:t>
      </w:r>
      <w:r>
        <w:rPr>
          <w:color w:val="000000"/>
        </w:rPr>
        <w:t>(4), 733-758.</w:t>
      </w:r>
    </w:p>
    <w:p w14:paraId="0000009B" w14:textId="77777777" w:rsidR="005C67AD" w:rsidRDefault="00000000">
      <w:r>
        <w:t>Chapman, F. E. (2022). At the Intersection of Discrediting, Degradation &amp; Denigration: Coercive Control, Parental Alienation, and" Institutional Gaslighting". </w:t>
      </w:r>
      <w:r>
        <w:rPr>
          <w:i/>
        </w:rPr>
        <w:t xml:space="preserve">Women's </w:t>
      </w:r>
      <w:proofErr w:type="spellStart"/>
      <w:r>
        <w:rPr>
          <w:i/>
        </w:rPr>
        <w:t>Rts</w:t>
      </w:r>
      <w:proofErr w:type="spellEnd"/>
      <w:r>
        <w:rPr>
          <w:i/>
        </w:rPr>
        <w:t>. L. Rep.</w:t>
      </w:r>
      <w:r>
        <w:t>, </w:t>
      </w:r>
      <w:r>
        <w:rPr>
          <w:i/>
        </w:rPr>
        <w:t>44</w:t>
      </w:r>
      <w:r>
        <w:t>, 52.</w:t>
      </w:r>
    </w:p>
    <w:p w14:paraId="0000009C" w14:textId="77777777" w:rsidR="005C67AD" w:rsidRDefault="00000000">
      <w:r>
        <w:t>Epstein, D., &amp; Goodman, L. A. (2018). Discounting women: Doubting domestic violence survivors' credibility and dismissing their experiences. </w:t>
      </w:r>
      <w:r>
        <w:rPr>
          <w:i/>
        </w:rPr>
        <w:t>U. Pa. L. Rev.</w:t>
      </w:r>
      <w:r>
        <w:t>, </w:t>
      </w:r>
      <w:r>
        <w:rPr>
          <w:i/>
        </w:rPr>
        <w:t>167</w:t>
      </w:r>
      <w:r>
        <w:t>, 399.</w:t>
      </w:r>
    </w:p>
    <w:p w14:paraId="0000009D" w14:textId="77777777" w:rsidR="005C67AD" w:rsidRDefault="00000000">
      <w:r>
        <w:t>Feinstein, N. W., &amp; Waddington, D. I. (2020). Individual truth judgments or purposeful, collective sensemaking? Rethinking science education’s response to the post-truth era. </w:t>
      </w:r>
      <w:r>
        <w:rPr>
          <w:i/>
        </w:rPr>
        <w:t>Educational Psychologist</w:t>
      </w:r>
      <w:r>
        <w:t>, </w:t>
      </w:r>
      <w:r>
        <w:rPr>
          <w:i/>
        </w:rPr>
        <w:t>55</w:t>
      </w:r>
      <w:r>
        <w:t>(3), 155-166.</w:t>
      </w:r>
    </w:p>
    <w:p w14:paraId="0000009E" w14:textId="77777777" w:rsidR="005C67AD" w:rsidRDefault="00000000">
      <w:pPr>
        <w:spacing w:after="120" w:line="360" w:lineRule="auto"/>
        <w:jc w:val="both"/>
      </w:pPr>
      <w:r w:rsidRPr="003D29C9">
        <w:rPr>
          <w:lang w:val="it-IT"/>
        </w:rPr>
        <w:t xml:space="preserve">Foroughi, H., Gabriel, Y., &amp; Fotaki, M. (2019). </w:t>
      </w:r>
      <w:r>
        <w:t xml:space="preserve">Leadership in a post-truth era: A new narrative </w:t>
      </w:r>
      <w:proofErr w:type="gramStart"/>
      <w:r>
        <w:t>disorder?.</w:t>
      </w:r>
      <w:proofErr w:type="gramEnd"/>
      <w:r>
        <w:t> </w:t>
      </w:r>
      <w:r>
        <w:rPr>
          <w:i/>
        </w:rPr>
        <w:t>Leadership</w:t>
      </w:r>
      <w:r>
        <w:t>, </w:t>
      </w:r>
      <w:r>
        <w:rPr>
          <w:i/>
        </w:rPr>
        <w:t>15</w:t>
      </w:r>
      <w:r>
        <w:t>(2), 135-151.</w:t>
      </w:r>
    </w:p>
    <w:p w14:paraId="0000009F" w14:textId="77777777" w:rsidR="005C67AD" w:rsidRDefault="00000000">
      <w:pPr>
        <w:spacing w:after="120" w:line="360" w:lineRule="auto"/>
        <w:jc w:val="both"/>
      </w:pPr>
      <w:r>
        <w:t>Fuller, S. (2018). What can philosophy teach us about the post-truth condition. In </w:t>
      </w:r>
      <w:proofErr w:type="gramStart"/>
      <w:r>
        <w:rPr>
          <w:i/>
        </w:rPr>
        <w:t>Post-truth</w:t>
      </w:r>
      <w:proofErr w:type="gramEnd"/>
      <w:r>
        <w:rPr>
          <w:i/>
        </w:rPr>
        <w:t>, fake news: Viral modernity &amp; higher education</w:t>
      </w:r>
      <w:r>
        <w:t> (pp. 13-26). Singapore: Springer Singapore.</w:t>
      </w:r>
    </w:p>
    <w:p w14:paraId="000000A0" w14:textId="77777777" w:rsidR="005C67AD" w:rsidRDefault="00000000">
      <w:r>
        <w:t xml:space="preserve">Giroux, H. A. (2018). What is the role of higher education in the age of fake </w:t>
      </w:r>
      <w:proofErr w:type="gramStart"/>
      <w:r>
        <w:t>news?.</w:t>
      </w:r>
      <w:proofErr w:type="gramEnd"/>
      <w:r>
        <w:t xml:space="preserve"> In </w:t>
      </w:r>
      <w:proofErr w:type="gramStart"/>
      <w:r>
        <w:rPr>
          <w:i/>
        </w:rPr>
        <w:t>Post-truth</w:t>
      </w:r>
      <w:proofErr w:type="gramEnd"/>
      <w:r>
        <w:rPr>
          <w:i/>
        </w:rPr>
        <w:t>, fake news: Viral modernity &amp; higher education</w:t>
      </w:r>
      <w:r>
        <w:t> (pp. 197-215). Singapore: Springer Singapore.</w:t>
      </w:r>
    </w:p>
    <w:p w14:paraId="000000A1" w14:textId="77777777" w:rsidR="005C67AD" w:rsidRDefault="00000000">
      <w:pPr>
        <w:spacing w:after="120" w:line="360" w:lineRule="auto"/>
        <w:jc w:val="both"/>
      </w:pPr>
      <w:r>
        <w:t>Greene, C. M., &amp; Murphy, G. (2020). Individual differences in susceptibility to false memories for COVID-19 fake news. </w:t>
      </w:r>
      <w:r>
        <w:rPr>
          <w:i/>
        </w:rPr>
        <w:t>Cognitive research: principles and implications</w:t>
      </w:r>
      <w:r>
        <w:t>, </w:t>
      </w:r>
      <w:r>
        <w:rPr>
          <w:i/>
        </w:rPr>
        <w:t>5</w:t>
      </w:r>
      <w:r>
        <w:t>(1), 63.</w:t>
      </w:r>
    </w:p>
    <w:p w14:paraId="000000A2" w14:textId="77777777" w:rsidR="005C67AD" w:rsidRPr="003D29C9" w:rsidRDefault="00000000">
      <w:pPr>
        <w:spacing w:after="120" w:line="360" w:lineRule="auto"/>
        <w:jc w:val="both"/>
        <w:rPr>
          <w:lang w:val="fr-FR"/>
        </w:rPr>
      </w:pPr>
      <w:r>
        <w:rPr>
          <w:rFonts w:ascii="Arial" w:eastAsia="Arial" w:hAnsi="Arial" w:cs="Arial"/>
          <w:color w:val="222222"/>
          <w:sz w:val="20"/>
          <w:szCs w:val="20"/>
          <w:highlight w:val="white"/>
        </w:rPr>
        <w:t xml:space="preserve">Jandrić, P. (2018). Post-truth and critical pedagogy of trust. In </w:t>
      </w:r>
      <w:proofErr w:type="gramStart"/>
      <w:r>
        <w:rPr>
          <w:rFonts w:ascii="Arial" w:eastAsia="Arial" w:hAnsi="Arial" w:cs="Arial"/>
          <w:i/>
          <w:color w:val="222222"/>
          <w:sz w:val="20"/>
          <w:szCs w:val="20"/>
          <w:highlight w:val="white"/>
        </w:rPr>
        <w:t>Post-truth</w:t>
      </w:r>
      <w:proofErr w:type="gramEnd"/>
      <w:r>
        <w:rPr>
          <w:rFonts w:ascii="Arial" w:eastAsia="Arial" w:hAnsi="Arial" w:cs="Arial"/>
          <w:i/>
          <w:color w:val="222222"/>
          <w:sz w:val="20"/>
          <w:szCs w:val="20"/>
          <w:highlight w:val="white"/>
        </w:rPr>
        <w:t>, fake news: viral modernity &amp; higher education</w:t>
      </w:r>
      <w:r>
        <w:rPr>
          <w:rFonts w:ascii="Arial" w:eastAsia="Arial" w:hAnsi="Arial" w:cs="Arial"/>
          <w:color w:val="222222"/>
          <w:sz w:val="20"/>
          <w:szCs w:val="20"/>
          <w:highlight w:val="white"/>
        </w:rPr>
        <w:t xml:space="preserve"> (pp. 101-111). </w:t>
      </w:r>
      <w:proofErr w:type="gramStart"/>
      <w:r w:rsidRPr="003D29C9">
        <w:rPr>
          <w:rFonts w:ascii="Arial" w:eastAsia="Arial" w:hAnsi="Arial" w:cs="Arial"/>
          <w:color w:val="222222"/>
          <w:sz w:val="20"/>
          <w:szCs w:val="20"/>
          <w:highlight w:val="white"/>
          <w:lang w:val="fr-FR"/>
        </w:rPr>
        <w:t>Singapore:</w:t>
      </w:r>
      <w:proofErr w:type="gramEnd"/>
      <w:r w:rsidRPr="003D29C9">
        <w:rPr>
          <w:rFonts w:ascii="Arial" w:eastAsia="Arial" w:hAnsi="Arial" w:cs="Arial"/>
          <w:color w:val="222222"/>
          <w:sz w:val="20"/>
          <w:szCs w:val="20"/>
          <w:highlight w:val="white"/>
          <w:lang w:val="fr-FR"/>
        </w:rPr>
        <w:t xml:space="preserve"> Springer Singapore.</w:t>
      </w:r>
    </w:p>
    <w:p w14:paraId="000000A3" w14:textId="77777777" w:rsidR="005C67AD" w:rsidRPr="003D29C9" w:rsidRDefault="00000000">
      <w:pPr>
        <w:spacing w:after="120" w:line="360" w:lineRule="auto"/>
        <w:jc w:val="both"/>
        <w:rPr>
          <w:lang w:val="it-IT"/>
        </w:rPr>
      </w:pPr>
      <w:r w:rsidRPr="003D29C9">
        <w:rPr>
          <w:lang w:val="fr-FR"/>
        </w:rPr>
        <w:t>Joly, M. (2024). </w:t>
      </w:r>
      <w:r w:rsidRPr="003D29C9">
        <w:rPr>
          <w:i/>
          <w:lang w:val="fr-FR"/>
        </w:rPr>
        <w:t>La pensée perverse au pouvoir</w:t>
      </w:r>
      <w:r w:rsidRPr="003D29C9">
        <w:rPr>
          <w:lang w:val="fr-FR"/>
        </w:rPr>
        <w:t xml:space="preserve">. </w:t>
      </w:r>
      <w:r w:rsidRPr="003D29C9">
        <w:rPr>
          <w:lang w:val="it-IT"/>
        </w:rPr>
        <w:t>Anamosa.</w:t>
      </w:r>
    </w:p>
    <w:p w14:paraId="000000A4" w14:textId="77777777" w:rsidR="005C67AD" w:rsidRDefault="00000000">
      <w:pPr>
        <w:pBdr>
          <w:top w:val="nil"/>
          <w:left w:val="nil"/>
          <w:bottom w:val="nil"/>
          <w:right w:val="nil"/>
          <w:between w:val="nil"/>
        </w:pBdr>
        <w:spacing w:after="0" w:line="360" w:lineRule="auto"/>
        <w:jc w:val="both"/>
        <w:rPr>
          <w:color w:val="000000"/>
        </w:rPr>
      </w:pPr>
      <w:r w:rsidRPr="003D29C9">
        <w:rPr>
          <w:color w:val="000000"/>
          <w:lang w:val="it-IT"/>
        </w:rPr>
        <w:t xml:space="preserve">Karnovsky, S., &amp; Gobby, B. (2024). </w:t>
      </w:r>
      <w:r>
        <w:rPr>
          <w:color w:val="000000"/>
        </w:rPr>
        <w:t>How teacher wellbeing can be cruel: refusing discourses of wellbeing in an online Reddit forum. </w:t>
      </w:r>
      <w:r>
        <w:rPr>
          <w:i/>
          <w:color w:val="000000"/>
        </w:rPr>
        <w:t>British Journal of sociology of Education</w:t>
      </w:r>
      <w:r>
        <w:rPr>
          <w:color w:val="000000"/>
        </w:rPr>
        <w:t>, </w:t>
      </w:r>
      <w:r>
        <w:rPr>
          <w:i/>
          <w:color w:val="000000"/>
        </w:rPr>
        <w:t>45</w:t>
      </w:r>
      <w:r>
        <w:rPr>
          <w:color w:val="000000"/>
        </w:rPr>
        <w:t>(2), 248-266.</w:t>
      </w:r>
    </w:p>
    <w:p w14:paraId="000000A5" w14:textId="77777777" w:rsidR="005C67AD" w:rsidRDefault="00000000">
      <w:pPr>
        <w:spacing w:after="120" w:line="360" w:lineRule="auto"/>
        <w:jc w:val="both"/>
      </w:pPr>
      <w:r>
        <w:t>Latif, F. (2020). Political gaslighting in the climate change discourse surrounding the 2016 election. </w:t>
      </w:r>
      <w:r>
        <w:rPr>
          <w:i/>
        </w:rPr>
        <w:t>President Trump’s First Term: The Year in C-SPAN Archives Research</w:t>
      </w:r>
      <w:r>
        <w:t>, </w:t>
      </w:r>
      <w:r>
        <w:rPr>
          <w:i/>
        </w:rPr>
        <w:t>5</w:t>
      </w:r>
      <w:r>
        <w:t>, 39-66.</w:t>
      </w:r>
    </w:p>
    <w:p w14:paraId="000000A6" w14:textId="77777777" w:rsidR="005C67AD" w:rsidRDefault="00000000">
      <w:pPr>
        <w:pBdr>
          <w:top w:val="nil"/>
          <w:left w:val="nil"/>
          <w:bottom w:val="nil"/>
          <w:right w:val="nil"/>
          <w:between w:val="nil"/>
        </w:pBdr>
        <w:spacing w:after="0" w:line="360" w:lineRule="auto"/>
        <w:jc w:val="both"/>
        <w:rPr>
          <w:color w:val="000000"/>
        </w:rPr>
      </w:pPr>
      <w:r>
        <w:rPr>
          <w:color w:val="000000"/>
        </w:rPr>
        <w:lastRenderedPageBreak/>
        <w:t xml:space="preserve">Legacy, C. (2024). </w:t>
      </w:r>
      <w:proofErr w:type="gramStart"/>
      <w:r>
        <w:rPr>
          <w:color w:val="000000"/>
        </w:rPr>
        <w:t>The participation</w:t>
      </w:r>
      <w:proofErr w:type="gramEnd"/>
      <w:r>
        <w:rPr>
          <w:color w:val="000000"/>
        </w:rPr>
        <w:t xml:space="preserve"> paradox and infrastructure planning: A story about gaslighting. </w:t>
      </w:r>
      <w:r>
        <w:rPr>
          <w:i/>
          <w:color w:val="000000"/>
        </w:rPr>
        <w:t>Urban Policy and Research</w:t>
      </w:r>
      <w:r>
        <w:rPr>
          <w:color w:val="000000"/>
        </w:rPr>
        <w:t>, </w:t>
      </w:r>
      <w:r>
        <w:rPr>
          <w:i/>
          <w:color w:val="000000"/>
        </w:rPr>
        <w:t>42</w:t>
      </w:r>
      <w:r>
        <w:rPr>
          <w:color w:val="000000"/>
        </w:rPr>
        <w:t>(4), 345-354.</w:t>
      </w:r>
    </w:p>
    <w:p w14:paraId="000000A7" w14:textId="77777777" w:rsidR="005C67AD" w:rsidRDefault="00000000">
      <w:pPr>
        <w:spacing w:after="120" w:line="360" w:lineRule="auto"/>
        <w:jc w:val="both"/>
      </w:pPr>
      <w:r>
        <w:t>Legg, C. (2024). Getting to post-post-truth.</w:t>
      </w:r>
    </w:p>
    <w:p w14:paraId="000000A8" w14:textId="77777777" w:rsidR="005C67AD" w:rsidRDefault="00000000">
      <w:pPr>
        <w:spacing w:after="120" w:line="360" w:lineRule="auto"/>
        <w:jc w:val="both"/>
      </w:pPr>
      <w:r>
        <w:t xml:space="preserve">Lewandowsky, S., &amp; Van Der Linden, S. (2021). Countering misinformation and fake news through inoculation and </w:t>
      </w:r>
      <w:proofErr w:type="spellStart"/>
      <w:r>
        <w:t>prebunking</w:t>
      </w:r>
      <w:proofErr w:type="spellEnd"/>
      <w:r>
        <w:t>. </w:t>
      </w:r>
      <w:r>
        <w:rPr>
          <w:i/>
        </w:rPr>
        <w:t>European review of social psychology</w:t>
      </w:r>
      <w:r>
        <w:t>, </w:t>
      </w:r>
      <w:r>
        <w:rPr>
          <w:i/>
        </w:rPr>
        <w:t>32</w:t>
      </w:r>
      <w:r>
        <w:t>(2), 348-384.</w:t>
      </w:r>
    </w:p>
    <w:p w14:paraId="000000A9" w14:textId="77777777" w:rsidR="005C67AD" w:rsidRDefault="00000000">
      <w:pPr>
        <w:pBdr>
          <w:top w:val="nil"/>
          <w:left w:val="nil"/>
          <w:bottom w:val="nil"/>
          <w:right w:val="nil"/>
          <w:between w:val="nil"/>
        </w:pBdr>
        <w:spacing w:after="0" w:line="360" w:lineRule="auto"/>
        <w:jc w:val="both"/>
        <w:rPr>
          <w:color w:val="000000"/>
        </w:rPr>
      </w:pPr>
      <w:r>
        <w:rPr>
          <w:color w:val="000000"/>
        </w:rPr>
        <w:t xml:space="preserve">Li, Y., &amp; Samp, J. A. (2023). Gaslighting LGBTQ+ individuals: Correlates of gaslighting experiences, </w:t>
      </w:r>
      <w:proofErr w:type="spellStart"/>
      <w:r>
        <w:rPr>
          <w:color w:val="000000"/>
        </w:rPr>
        <w:t>gaslighters</w:t>
      </w:r>
      <w:proofErr w:type="spellEnd"/>
      <w:r>
        <w:rPr>
          <w:color w:val="000000"/>
        </w:rPr>
        <w:t>’ characteristics, and gaslighting techniques. </w:t>
      </w:r>
      <w:r>
        <w:rPr>
          <w:i/>
          <w:color w:val="000000"/>
        </w:rPr>
        <w:t>Communication Studies</w:t>
      </w:r>
      <w:r>
        <w:rPr>
          <w:color w:val="000000"/>
        </w:rPr>
        <w:t>, </w:t>
      </w:r>
      <w:r>
        <w:rPr>
          <w:i/>
          <w:color w:val="000000"/>
        </w:rPr>
        <w:t>74</w:t>
      </w:r>
      <w:r>
        <w:rPr>
          <w:color w:val="000000"/>
        </w:rPr>
        <w:t>(4), 356-376.</w:t>
      </w:r>
    </w:p>
    <w:p w14:paraId="000000AA" w14:textId="77777777" w:rsidR="005C67AD" w:rsidRDefault="00000000">
      <w:pPr>
        <w:pBdr>
          <w:top w:val="nil"/>
          <w:left w:val="nil"/>
          <w:bottom w:val="nil"/>
          <w:right w:val="nil"/>
          <w:between w:val="nil"/>
        </w:pBdr>
        <w:spacing w:after="0" w:line="360" w:lineRule="auto"/>
        <w:jc w:val="both"/>
        <w:rPr>
          <w:color w:val="000000"/>
        </w:rPr>
      </w:pPr>
      <w:r>
        <w:rPr>
          <w:color w:val="000000"/>
        </w:rPr>
        <w:t>McKinnon, R. (2017). Allies behaving badly: Gaslighting as epistemic injustice. In </w:t>
      </w:r>
      <w:r>
        <w:rPr>
          <w:i/>
          <w:color w:val="000000"/>
        </w:rPr>
        <w:t>The Routledge handbook of epistemic injustice</w:t>
      </w:r>
      <w:r>
        <w:rPr>
          <w:color w:val="000000"/>
        </w:rPr>
        <w:t> (pp. 167-174). Routledge.</w:t>
      </w:r>
    </w:p>
    <w:p w14:paraId="000000AB" w14:textId="77777777" w:rsidR="005C67AD" w:rsidRDefault="00000000">
      <w:pPr>
        <w:spacing w:after="120" w:line="360" w:lineRule="auto"/>
        <w:jc w:val="both"/>
      </w:pPr>
      <w:r>
        <w:t xml:space="preserve">Mohammed, S., Grundy, Q., &amp; </w:t>
      </w:r>
      <w:proofErr w:type="spellStart"/>
      <w:r>
        <w:t>Bytautas</w:t>
      </w:r>
      <w:proofErr w:type="spellEnd"/>
      <w:r>
        <w:t>, J. (2024). Addressing Post-Truth in the Classroom: Towards a Critical Pedagogy. </w:t>
      </w:r>
      <w:r>
        <w:rPr>
          <w:i/>
        </w:rPr>
        <w:t>Teaching &amp; Learning Inquiry</w:t>
      </w:r>
      <w:r>
        <w:t>, </w:t>
      </w:r>
      <w:r>
        <w:rPr>
          <w:i/>
        </w:rPr>
        <w:t>12</w:t>
      </w:r>
      <w:r>
        <w:t>.</w:t>
      </w:r>
    </w:p>
    <w:p w14:paraId="000000AC" w14:textId="77777777" w:rsidR="005C67AD" w:rsidRDefault="00000000">
      <w:proofErr w:type="spellStart"/>
      <w:r>
        <w:t>Pohlhaus</w:t>
      </w:r>
      <w:proofErr w:type="spellEnd"/>
      <w:r>
        <w:t xml:space="preserve"> Jr, G. (2020). Gaslighting and echoing, or why collective epistemic resistance is not a “witch hunt”. </w:t>
      </w:r>
      <w:r>
        <w:rPr>
          <w:i/>
        </w:rPr>
        <w:t>Hypatia</w:t>
      </w:r>
      <w:r>
        <w:t>, </w:t>
      </w:r>
      <w:r>
        <w:rPr>
          <w:i/>
        </w:rPr>
        <w:t>35</w:t>
      </w:r>
      <w:r>
        <w:t>(4), 674-686.</w:t>
      </w:r>
    </w:p>
    <w:p w14:paraId="000000AD" w14:textId="77777777" w:rsidR="005C67AD" w:rsidRDefault="00000000">
      <w:pPr>
        <w:spacing w:after="120" w:line="360" w:lineRule="auto"/>
        <w:jc w:val="both"/>
      </w:pPr>
      <w:proofErr w:type="spellStart"/>
      <w:r>
        <w:t>Rietdijk</w:t>
      </w:r>
      <w:proofErr w:type="spellEnd"/>
      <w:r>
        <w:t>, N. (2024). Post-truth politics and collective gaslighting. </w:t>
      </w:r>
      <w:r>
        <w:rPr>
          <w:i/>
        </w:rPr>
        <w:t>Episteme</w:t>
      </w:r>
      <w:r>
        <w:t>, </w:t>
      </w:r>
      <w:r>
        <w:rPr>
          <w:i/>
        </w:rPr>
        <w:t>21</w:t>
      </w:r>
      <w:r>
        <w:t>(1), 229-245.</w:t>
      </w:r>
    </w:p>
    <w:p w14:paraId="000000AE" w14:textId="77777777" w:rsidR="005C67AD" w:rsidRDefault="00000000">
      <w:pPr>
        <w:pBdr>
          <w:top w:val="nil"/>
          <w:left w:val="nil"/>
          <w:bottom w:val="nil"/>
          <w:right w:val="nil"/>
          <w:between w:val="nil"/>
        </w:pBdr>
        <w:spacing w:after="0" w:line="360" w:lineRule="auto"/>
        <w:jc w:val="both"/>
        <w:rPr>
          <w:color w:val="000000"/>
        </w:rPr>
      </w:pPr>
      <w:r>
        <w:rPr>
          <w:color w:val="000000"/>
        </w:rPr>
        <w:t>Ruíz, E. (2020). Cultural gaslighting. </w:t>
      </w:r>
      <w:r>
        <w:rPr>
          <w:i/>
          <w:color w:val="000000"/>
        </w:rPr>
        <w:t>Hypatia</w:t>
      </w:r>
      <w:r>
        <w:rPr>
          <w:color w:val="000000"/>
        </w:rPr>
        <w:t>, </w:t>
      </w:r>
      <w:r>
        <w:rPr>
          <w:i/>
          <w:color w:val="000000"/>
        </w:rPr>
        <w:t>35</w:t>
      </w:r>
      <w:r>
        <w:rPr>
          <w:color w:val="000000"/>
        </w:rPr>
        <w:t>(4), 687-713.</w:t>
      </w:r>
    </w:p>
    <w:p w14:paraId="000000AF" w14:textId="77777777" w:rsidR="005C67AD" w:rsidRPr="003D29C9" w:rsidRDefault="00000000">
      <w:pPr>
        <w:pBdr>
          <w:top w:val="nil"/>
          <w:left w:val="nil"/>
          <w:bottom w:val="nil"/>
          <w:right w:val="nil"/>
          <w:between w:val="nil"/>
        </w:pBdr>
        <w:spacing w:after="0" w:line="360" w:lineRule="auto"/>
        <w:jc w:val="both"/>
        <w:rPr>
          <w:color w:val="000000"/>
          <w:lang w:val="fr-FR"/>
        </w:rPr>
      </w:pPr>
      <w:proofErr w:type="spellStart"/>
      <w:r w:rsidRPr="003D29C9">
        <w:rPr>
          <w:color w:val="000000"/>
          <w:lang w:val="fr-FR"/>
        </w:rPr>
        <w:t>Ruíz</w:t>
      </w:r>
      <w:proofErr w:type="spellEnd"/>
      <w:r w:rsidRPr="003D29C9">
        <w:rPr>
          <w:color w:val="000000"/>
          <w:lang w:val="fr-FR"/>
        </w:rPr>
        <w:t>, E. F. (2024). Structural Violence.</w:t>
      </w:r>
    </w:p>
    <w:p w14:paraId="000000B0" w14:textId="77777777" w:rsidR="005C67AD" w:rsidRDefault="00000000">
      <w:r>
        <w:t xml:space="preserve">Shane, T., Willaert, T., &amp; </w:t>
      </w:r>
      <w:proofErr w:type="spellStart"/>
      <w:r>
        <w:t>Tuters</w:t>
      </w:r>
      <w:proofErr w:type="spellEnd"/>
      <w:r>
        <w:t>, M. (2022). The rise of “gaslighting”: debates about disinformation on Twitter and 4chan, and the possibility of a “good echo chamber”. </w:t>
      </w:r>
      <w:r>
        <w:rPr>
          <w:i/>
        </w:rPr>
        <w:t>Popular communication</w:t>
      </w:r>
      <w:r>
        <w:t>, </w:t>
      </w:r>
      <w:r>
        <w:rPr>
          <w:i/>
        </w:rPr>
        <w:t>20</w:t>
      </w:r>
      <w:r>
        <w:t>(3), 178-192.</w:t>
      </w:r>
    </w:p>
    <w:p w14:paraId="000000B1" w14:textId="77777777" w:rsidR="005C67AD" w:rsidRDefault="00000000">
      <w:pPr>
        <w:pBdr>
          <w:top w:val="nil"/>
          <w:left w:val="nil"/>
          <w:bottom w:val="nil"/>
          <w:right w:val="nil"/>
          <w:between w:val="nil"/>
        </w:pBdr>
        <w:spacing w:after="0" w:line="360" w:lineRule="auto"/>
        <w:jc w:val="both"/>
        <w:rPr>
          <w:color w:val="000000"/>
        </w:rPr>
      </w:pPr>
      <w:r>
        <w:rPr>
          <w:color w:val="000000"/>
        </w:rPr>
        <w:t>Sodoma, K. A. (2022). Emotional gaslighting and affective empathy. </w:t>
      </w:r>
      <w:r>
        <w:rPr>
          <w:i/>
          <w:color w:val="000000"/>
        </w:rPr>
        <w:t>International Journal of Philosophical Studies</w:t>
      </w:r>
      <w:r>
        <w:rPr>
          <w:color w:val="000000"/>
        </w:rPr>
        <w:t>, </w:t>
      </w:r>
      <w:r>
        <w:rPr>
          <w:i/>
          <w:color w:val="000000"/>
        </w:rPr>
        <w:t>30</w:t>
      </w:r>
      <w:r>
        <w:rPr>
          <w:color w:val="000000"/>
        </w:rPr>
        <w:t>(3), 320-338.</w:t>
      </w:r>
    </w:p>
    <w:p w14:paraId="000000B2" w14:textId="77777777" w:rsidR="005C67AD" w:rsidRDefault="00000000">
      <w:pPr>
        <w:pBdr>
          <w:top w:val="nil"/>
          <w:left w:val="nil"/>
          <w:bottom w:val="nil"/>
          <w:right w:val="nil"/>
          <w:between w:val="nil"/>
        </w:pBdr>
        <w:spacing w:after="0" w:line="360" w:lineRule="auto"/>
        <w:jc w:val="both"/>
        <w:rPr>
          <w:color w:val="000000"/>
        </w:rPr>
      </w:pPr>
      <w:r>
        <w:rPr>
          <w:color w:val="000000"/>
        </w:rPr>
        <w:t>Spear, A. D. (2023). Epistemic dimensions of gaslighting: Peer-disagreement, self-trust, and epistemic injustice. </w:t>
      </w:r>
      <w:r>
        <w:rPr>
          <w:i/>
          <w:color w:val="000000"/>
        </w:rPr>
        <w:t>Inquiry</w:t>
      </w:r>
      <w:r>
        <w:rPr>
          <w:color w:val="000000"/>
        </w:rPr>
        <w:t>.</w:t>
      </w:r>
    </w:p>
    <w:p w14:paraId="000000B3" w14:textId="77777777" w:rsidR="005C67AD" w:rsidRDefault="00000000">
      <w:pPr>
        <w:pBdr>
          <w:top w:val="nil"/>
          <w:left w:val="nil"/>
          <w:bottom w:val="nil"/>
          <w:right w:val="nil"/>
          <w:between w:val="nil"/>
        </w:pBdr>
        <w:spacing w:after="0" w:line="360" w:lineRule="auto"/>
        <w:jc w:val="both"/>
        <w:rPr>
          <w:color w:val="000000"/>
        </w:rPr>
      </w:pPr>
      <w:r>
        <w:rPr>
          <w:color w:val="000000"/>
        </w:rPr>
        <w:t>Stark, C. A. (2019). Gaslighting, misogyny, and psychological oppression. </w:t>
      </w:r>
      <w:r>
        <w:rPr>
          <w:i/>
          <w:color w:val="000000"/>
        </w:rPr>
        <w:t>The monist</w:t>
      </w:r>
      <w:r>
        <w:rPr>
          <w:color w:val="000000"/>
        </w:rPr>
        <w:t>, </w:t>
      </w:r>
      <w:r>
        <w:rPr>
          <w:i/>
          <w:color w:val="000000"/>
        </w:rPr>
        <w:t>102</w:t>
      </w:r>
      <w:r>
        <w:rPr>
          <w:color w:val="000000"/>
        </w:rPr>
        <w:t>(2), 221-235.</w:t>
      </w:r>
    </w:p>
    <w:p w14:paraId="000000B4" w14:textId="77777777" w:rsidR="005C67AD" w:rsidRDefault="00000000">
      <w:r>
        <w:t>Valladares, L. (2022). Post-truth and education: STS vaccines to re-establish science in the public sphere. </w:t>
      </w:r>
      <w:r>
        <w:rPr>
          <w:i/>
        </w:rPr>
        <w:t>Science &amp; Education</w:t>
      </w:r>
      <w:r>
        <w:t>, </w:t>
      </w:r>
      <w:r>
        <w:rPr>
          <w:i/>
        </w:rPr>
        <w:t>31</w:t>
      </w:r>
      <w:r>
        <w:t>(5), 1311-1337.</w:t>
      </w:r>
    </w:p>
    <w:p w14:paraId="000000B5" w14:textId="77777777" w:rsidR="005C67AD" w:rsidRDefault="00000000">
      <w:pPr>
        <w:spacing w:after="120" w:line="360" w:lineRule="auto"/>
        <w:jc w:val="both"/>
      </w:pPr>
      <w:r>
        <w:t xml:space="preserve">Van </w:t>
      </w:r>
      <w:proofErr w:type="spellStart"/>
      <w:r>
        <w:t>Prooijen</w:t>
      </w:r>
      <w:proofErr w:type="spellEnd"/>
      <w:r>
        <w:t>, J. W., &amp; Douglas, K. M. (2017). Conspiracy theories as part of history: The role of societal crisis situations. </w:t>
      </w:r>
      <w:r>
        <w:rPr>
          <w:i/>
        </w:rPr>
        <w:t>Memory studies</w:t>
      </w:r>
      <w:r>
        <w:t>, </w:t>
      </w:r>
      <w:r>
        <w:rPr>
          <w:i/>
        </w:rPr>
        <w:t>10</w:t>
      </w:r>
      <w:r>
        <w:t>(3), 323-333.</w:t>
      </w:r>
    </w:p>
    <w:p w14:paraId="000000B6" w14:textId="77777777" w:rsidR="005C67AD" w:rsidRDefault="00000000">
      <w:pPr>
        <w:pBdr>
          <w:top w:val="nil"/>
          <w:left w:val="nil"/>
          <w:bottom w:val="nil"/>
          <w:right w:val="nil"/>
          <w:between w:val="nil"/>
        </w:pBdr>
        <w:spacing w:after="0" w:line="360" w:lineRule="auto"/>
        <w:jc w:val="both"/>
        <w:rPr>
          <w:color w:val="000000"/>
        </w:rPr>
      </w:pPr>
      <w:r>
        <w:rPr>
          <w:color w:val="000000"/>
        </w:rPr>
        <w:t>Vasquez, R., Leathers, S., Lee, A., &amp; Cheruvu, R. (2025). The cruelty is the point: racial gaslighting in teacher education. </w:t>
      </w:r>
      <w:r>
        <w:rPr>
          <w:i/>
          <w:color w:val="000000"/>
        </w:rPr>
        <w:t>International Journal of Qualitative Studies in Education</w:t>
      </w:r>
      <w:r>
        <w:rPr>
          <w:color w:val="000000"/>
        </w:rPr>
        <w:t>, 1-15.</w:t>
      </w:r>
    </w:p>
    <w:p w14:paraId="000000B7" w14:textId="77777777" w:rsidR="005C67AD" w:rsidRDefault="00000000">
      <w:pPr>
        <w:spacing w:after="120" w:line="360" w:lineRule="auto"/>
        <w:jc w:val="both"/>
      </w:pPr>
      <w:r>
        <w:lastRenderedPageBreak/>
        <w:t>Vosoughi, S., Roy, D., &amp; Aral, S. (2018). The spread of true and false news online. </w:t>
      </w:r>
      <w:r>
        <w:rPr>
          <w:i/>
        </w:rPr>
        <w:t>science</w:t>
      </w:r>
      <w:r>
        <w:t>, </w:t>
      </w:r>
      <w:r>
        <w:rPr>
          <w:i/>
        </w:rPr>
        <w:t>359</w:t>
      </w:r>
      <w:r>
        <w:t>(6380), 1146-1151.</w:t>
      </w:r>
    </w:p>
    <w:p w14:paraId="000000B8" w14:textId="77777777" w:rsidR="005C67AD" w:rsidRDefault="00000000">
      <w:r>
        <w:t xml:space="preserve">Wescott, S., &amp; Roberts, S. (2025). </w:t>
      </w:r>
      <w:proofErr w:type="spellStart"/>
      <w:r>
        <w:t>Conceptualising</w:t>
      </w:r>
      <w:proofErr w:type="spellEnd"/>
      <w:r>
        <w:t xml:space="preserve"> school-level responses to sexual harassment of women teachers as institutional gaslighting. </w:t>
      </w:r>
      <w:r>
        <w:rPr>
          <w:i/>
        </w:rPr>
        <w:t>British Journal of sociology of Education</w:t>
      </w:r>
      <w:r>
        <w:t>, </w:t>
      </w:r>
      <w:r>
        <w:rPr>
          <w:i/>
        </w:rPr>
        <w:t>46</w:t>
      </w:r>
      <w:r>
        <w:t>(1), 1-18.</w:t>
      </w:r>
    </w:p>
    <w:sectPr w:rsidR="005C67AD">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CD7B9" w14:textId="77777777" w:rsidR="007F3091" w:rsidRDefault="007F3091">
      <w:pPr>
        <w:spacing w:after="0"/>
      </w:pPr>
      <w:r>
        <w:separator/>
      </w:r>
    </w:p>
  </w:endnote>
  <w:endnote w:type="continuationSeparator" w:id="0">
    <w:p w14:paraId="69413AC2" w14:textId="77777777" w:rsidR="007F3091" w:rsidRDefault="007F309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B5E8A56-3B16-4EDF-BEF8-069255DB500C}"/>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8AD25172-F9CE-483F-A0AC-9AEF305C1AF8}"/>
    <w:embedBold r:id="rId3" w:fontKey="{418C8AE5-ABA3-4575-ABD0-6F33E2E3748D}"/>
    <w:embedItalic r:id="rId4" w:fontKey="{4925EEF6-9594-42C9-A675-DCB7BCDE270D}"/>
  </w:font>
  <w:font w:name="Play">
    <w:charset w:val="00"/>
    <w:family w:val="auto"/>
    <w:pitch w:val="default"/>
    <w:embedRegular r:id="rId5" w:fontKey="{A8724E6F-5F09-496A-A5A9-0949A6636899}"/>
    <w:embedBold r:id="rId6" w:fontKey="{21A94978-DE8E-4295-B46E-2CE3E9338F60}"/>
  </w:font>
  <w:font w:name="Aptos Display">
    <w:charset w:val="00"/>
    <w:family w:val="swiss"/>
    <w:pitch w:val="variable"/>
    <w:sig w:usb0="20000287" w:usb1="00000003" w:usb2="00000000" w:usb3="00000000" w:csb0="0000019F" w:csb1="00000000"/>
    <w:embedRegular r:id="rId7" w:fontKey="{461185FD-AA43-4FB3-A62D-9B50EADF9F85}"/>
  </w:font>
  <w:font w:name="FreeSans">
    <w:altName w:val="Cambria"/>
    <w:charset w:val="00"/>
    <w:family w:val="auto"/>
    <w:pitch w:val="default"/>
  </w:font>
  <w:font w:name="DejaVu Sans">
    <w:charset w:val="00"/>
    <w:family w:val="auto"/>
    <w:pitch w:val="variable"/>
  </w:font>
  <w:font w:name="Liberation Sans">
    <w:charset w:val="00"/>
    <w:family w:val="roman"/>
    <w:pitch w:val="variable"/>
  </w:font>
  <w:font w:name="Consolas">
    <w:panose1 w:val="020B0609020204030204"/>
    <w:charset w:val="00"/>
    <w:family w:val="modern"/>
    <w:pitch w:val="fixed"/>
    <w:sig w:usb0="E00006FF" w:usb1="0000FCFF" w:usb2="00000001" w:usb3="00000000" w:csb0="0000019F" w:csb1="00000000"/>
    <w:embedRegular r:id="rId8" w:fontKey="{0B224CC1-5675-4463-9538-D13C4078ACAD}"/>
  </w:font>
  <w:font w:name="Calibri">
    <w:panose1 w:val="020F0502020204030204"/>
    <w:charset w:val="00"/>
    <w:family w:val="swiss"/>
    <w:pitch w:val="variable"/>
    <w:sig w:usb0="E4002EFF" w:usb1="C200247B" w:usb2="00000009" w:usb3="00000000" w:csb0="000001FF" w:csb1="00000000"/>
    <w:embedRegular r:id="rId9" w:fontKey="{CE502C08-7F0B-4FA3-9025-0D60B2EC2EF7}"/>
    <w:embedBold r:id="rId10" w:fontKey="{2921C170-FF80-48DD-BA40-D8DF3FD94C0B}"/>
    <w:embedItalic r:id="rId11" w:fontKey="{12E159DB-6780-4ED5-B9EE-A17A0CFC686C}"/>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B9" w14:textId="3364C9FC" w:rsidR="005C67AD" w:rsidRDefault="00000000">
    <w:pPr>
      <w:pBdr>
        <w:top w:val="nil"/>
        <w:left w:val="nil"/>
        <w:bottom w:val="nil"/>
        <w:right w:val="nil"/>
        <w:between w:val="nil"/>
      </w:pBdr>
      <w:tabs>
        <w:tab w:val="center" w:pos="4680"/>
        <w:tab w:val="right" w:pos="9360"/>
      </w:tabs>
      <w:spacing w:after="0"/>
      <w:jc w:val="center"/>
      <w:rPr>
        <w:color w:val="000000"/>
      </w:rPr>
    </w:pPr>
    <w:r>
      <w:rPr>
        <w:color w:val="000000"/>
      </w:rPr>
      <w:fldChar w:fldCharType="begin"/>
    </w:r>
    <w:r>
      <w:rPr>
        <w:color w:val="000000"/>
      </w:rPr>
      <w:instrText>PAGE</w:instrText>
    </w:r>
    <w:r>
      <w:rPr>
        <w:color w:val="000000"/>
      </w:rPr>
      <w:fldChar w:fldCharType="separate"/>
    </w:r>
    <w:r w:rsidR="003D29C9">
      <w:rPr>
        <w:noProof/>
        <w:color w:val="000000"/>
      </w:rPr>
      <w:t>1</w:t>
    </w:r>
    <w:r>
      <w:rPr>
        <w:color w:val="000000"/>
      </w:rPr>
      <w:fldChar w:fldCharType="end"/>
    </w:r>
  </w:p>
  <w:p w14:paraId="000000BA" w14:textId="77777777" w:rsidR="005C67AD" w:rsidRDefault="005C67AD">
    <w:pPr>
      <w:pBdr>
        <w:top w:val="nil"/>
        <w:left w:val="nil"/>
        <w:bottom w:val="nil"/>
        <w:right w:val="nil"/>
        <w:between w:val="nil"/>
      </w:pBdr>
      <w:tabs>
        <w:tab w:val="center" w:pos="4680"/>
        <w:tab w:val="right" w:pos="9360"/>
      </w:tabs>
      <w:spacing w:after="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C8A9A" w14:textId="77777777" w:rsidR="007F3091" w:rsidRDefault="007F3091">
      <w:pPr>
        <w:spacing w:after="0"/>
      </w:pPr>
      <w:r>
        <w:separator/>
      </w:r>
    </w:p>
  </w:footnote>
  <w:footnote w:type="continuationSeparator" w:id="0">
    <w:p w14:paraId="2BC461AE" w14:textId="77777777" w:rsidR="007F3091" w:rsidRDefault="007F309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DC4F23"/>
    <w:multiLevelType w:val="multilevel"/>
    <w:tmpl w:val="4330E24E"/>
    <w:lvl w:ilvl="0">
      <w:numFmt w:val="bullet"/>
      <w:lvlText w:val="▪"/>
      <w:lvlJc w:val="left"/>
      <w:pPr>
        <w:ind w:left="720" w:hanging="360"/>
      </w:pPr>
      <w:rPr>
        <w:rFonts w:ascii="Noto Sans Symbols" w:eastAsia="Noto Sans Symbols" w:hAnsi="Noto Sans Symbols" w:cs="Noto Sans Symbol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948186D"/>
    <w:multiLevelType w:val="multilevel"/>
    <w:tmpl w:val="AAECAF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D251355"/>
    <w:multiLevelType w:val="hybridMultilevel"/>
    <w:tmpl w:val="CDD4E5E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2FB27972"/>
    <w:multiLevelType w:val="multilevel"/>
    <w:tmpl w:val="C52CA88E"/>
    <w:lvl w:ilvl="0">
      <w:numFmt w:val="bullet"/>
      <w:lvlText w:val="▪"/>
      <w:lvlJc w:val="left"/>
      <w:pPr>
        <w:ind w:left="720" w:hanging="360"/>
      </w:pPr>
      <w:rPr>
        <w:rFonts w:ascii="Noto Sans Symbols" w:eastAsia="Noto Sans Symbols" w:hAnsi="Noto Sans Symbols" w:cs="Noto Sans Symbol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9952BFE"/>
    <w:multiLevelType w:val="multilevel"/>
    <w:tmpl w:val="B492D6F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119379625">
    <w:abstractNumId w:val="0"/>
  </w:num>
  <w:num w:numId="2" w16cid:durableId="262618461">
    <w:abstractNumId w:val="4"/>
  </w:num>
  <w:num w:numId="3" w16cid:durableId="22754806">
    <w:abstractNumId w:val="3"/>
  </w:num>
  <w:num w:numId="4" w16cid:durableId="1632395587">
    <w:abstractNumId w:val="1"/>
  </w:num>
  <w:num w:numId="5" w16cid:durableId="3545796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67AD"/>
    <w:rsid w:val="003D29C9"/>
    <w:rsid w:val="005C67AD"/>
    <w:rsid w:val="007F3091"/>
    <w:rsid w:val="008B4B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91A30E"/>
  <w15:docId w15:val="{9256C720-4FB5-485A-A587-3E86185214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 w:eastAsia="en-US" w:bidi="ar-SA"/>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color w:val="595959"/>
    </w:rPr>
  </w:style>
  <w:style w:type="paragraph" w:styleId="Heading7">
    <w:name w:val="heading 7"/>
    <w:basedOn w:val="Normal"/>
    <w:next w:val="Normal"/>
    <w:pPr>
      <w:keepNext/>
      <w:keepLines/>
      <w:spacing w:before="40" w:after="0"/>
      <w:outlineLvl w:val="6"/>
    </w:pPr>
    <w:rPr>
      <w:rFonts w:eastAsia="Times New Roman"/>
      <w:color w:val="595959"/>
    </w:rPr>
  </w:style>
  <w:style w:type="paragraph" w:styleId="Heading8">
    <w:name w:val="heading 8"/>
    <w:basedOn w:val="Normal"/>
    <w:next w:val="Normal"/>
    <w:pPr>
      <w:keepNext/>
      <w:keepLines/>
      <w:spacing w:after="0"/>
      <w:outlineLvl w:val="7"/>
    </w:pPr>
    <w:rPr>
      <w:rFonts w:eastAsia="Times New Roman"/>
      <w:i/>
      <w:iCs/>
      <w:color w:val="272727"/>
    </w:rPr>
  </w:style>
  <w:style w:type="paragraph" w:styleId="Heading9">
    <w:name w:val="heading 9"/>
    <w:basedOn w:val="Normal"/>
    <w:next w:val="Normal"/>
    <w:pPr>
      <w:keepNext/>
      <w:keepLines/>
      <w:spacing w:after="0"/>
      <w:outlineLvl w:val="8"/>
    </w:pPr>
    <w:rPr>
      <w:rFonts w:eastAsia="Times New Roman"/>
      <w:color w:val="2727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after="80"/>
    </w:pPr>
    <w:rPr>
      <w:rFonts w:ascii="Play" w:eastAsia="Play" w:hAnsi="Play" w:cs="Play"/>
      <w:sz w:val="56"/>
      <w:szCs w:val="56"/>
    </w:rPr>
  </w:style>
  <w:style w:type="character" w:customStyle="1" w:styleId="Heading1Char">
    <w:name w:val="Heading 1 Char"/>
    <w:basedOn w:val="DefaultParagraphFont"/>
    <w:rPr>
      <w:rFonts w:ascii="Aptos Display" w:eastAsia="Times New Roman" w:hAnsi="Aptos Display" w:cs="Times New Roman"/>
      <w:color w:val="0F4761"/>
      <w:sz w:val="40"/>
      <w:szCs w:val="40"/>
    </w:rPr>
  </w:style>
  <w:style w:type="character" w:customStyle="1" w:styleId="Heading2Char">
    <w:name w:val="Heading 2 Char"/>
    <w:basedOn w:val="DefaultParagraphFont"/>
    <w:rPr>
      <w:rFonts w:ascii="Aptos Display" w:eastAsia="Times New Roman" w:hAnsi="Aptos Display" w:cs="Times New Roman"/>
      <w:color w:val="0F4761"/>
      <w:sz w:val="32"/>
      <w:szCs w:val="32"/>
    </w:rPr>
  </w:style>
  <w:style w:type="character" w:customStyle="1" w:styleId="Heading3Char">
    <w:name w:val="Heading 3 Char"/>
    <w:basedOn w:val="DefaultParagraphFont"/>
    <w:rPr>
      <w:rFonts w:eastAsia="Times New Roman" w:cs="Times New Roman"/>
      <w:color w:val="0F4761"/>
      <w:sz w:val="28"/>
      <w:szCs w:val="28"/>
    </w:rPr>
  </w:style>
  <w:style w:type="character" w:customStyle="1" w:styleId="Heading4Char">
    <w:name w:val="Heading 4 Char"/>
    <w:basedOn w:val="DefaultParagraphFont"/>
    <w:rPr>
      <w:rFonts w:eastAsia="Times New Roman" w:cs="Times New Roman"/>
      <w:i/>
      <w:iCs/>
      <w:color w:val="0F4761"/>
    </w:rPr>
  </w:style>
  <w:style w:type="character" w:customStyle="1" w:styleId="Heading5Char">
    <w:name w:val="Heading 5 Char"/>
    <w:basedOn w:val="DefaultParagraphFont"/>
    <w:rPr>
      <w:rFonts w:eastAsia="Times New Roman" w:cs="Times New Roman"/>
      <w:color w:val="0F4761"/>
    </w:rPr>
  </w:style>
  <w:style w:type="character" w:customStyle="1" w:styleId="Heading6Char">
    <w:name w:val="Heading 6 Char"/>
    <w:basedOn w:val="DefaultParagraphFont"/>
    <w:rPr>
      <w:rFonts w:eastAsia="Times New Roman" w:cs="Times New Roman"/>
      <w:i/>
      <w:iCs/>
      <w:color w:val="595959"/>
    </w:rPr>
  </w:style>
  <w:style w:type="character" w:customStyle="1" w:styleId="Heading7Char">
    <w:name w:val="Heading 7 Char"/>
    <w:basedOn w:val="DefaultParagraphFont"/>
    <w:rPr>
      <w:rFonts w:eastAsia="Times New Roman" w:cs="Times New Roman"/>
      <w:color w:val="595959"/>
    </w:rPr>
  </w:style>
  <w:style w:type="character" w:customStyle="1" w:styleId="Heading8Char">
    <w:name w:val="Heading 8 Char"/>
    <w:basedOn w:val="DefaultParagraphFont"/>
    <w:rPr>
      <w:rFonts w:eastAsia="Times New Roman" w:cs="Times New Roman"/>
      <w:i/>
      <w:iCs/>
      <w:color w:val="272727"/>
    </w:rPr>
  </w:style>
  <w:style w:type="character" w:customStyle="1" w:styleId="Heading9Char">
    <w:name w:val="Heading 9 Char"/>
    <w:basedOn w:val="DefaultParagraphFont"/>
    <w:rPr>
      <w:rFonts w:eastAsia="Times New Roman" w:cs="Times New Roman"/>
      <w:color w:val="272727"/>
    </w:rPr>
  </w:style>
  <w:style w:type="character" w:customStyle="1" w:styleId="TitleChar">
    <w:name w:val="Title Char"/>
    <w:basedOn w:val="DefaultParagraphFont"/>
    <w:rPr>
      <w:rFonts w:ascii="Aptos Display" w:eastAsia="Times New Roman" w:hAnsi="Aptos Display" w:cs="Times New Roman"/>
      <w:spacing w:val="-10"/>
      <w:kern w:val="3"/>
      <w:sz w:val="56"/>
      <w:szCs w:val="56"/>
    </w:rPr>
  </w:style>
  <w:style w:type="character" w:customStyle="1" w:styleId="SubtitleChar">
    <w:name w:val="Subtitle Char"/>
    <w:basedOn w:val="DefaultParagraphFont"/>
    <w:rPr>
      <w:rFonts w:eastAsia="Times New Roman" w:cs="Times New Roman"/>
      <w:color w:val="595959"/>
      <w:spacing w:val="15"/>
      <w:sz w:val="28"/>
      <w:szCs w:val="28"/>
    </w:rPr>
  </w:style>
  <w:style w:type="paragraph" w:styleId="Quote">
    <w:name w:val="Quote"/>
    <w:basedOn w:val="Normal"/>
    <w:next w:val="Normal"/>
    <w:pPr>
      <w:spacing w:before="160"/>
      <w:jc w:val="center"/>
    </w:pPr>
    <w:rPr>
      <w:i/>
      <w:iCs/>
      <w:color w:val="404040"/>
    </w:rPr>
  </w:style>
  <w:style w:type="character" w:customStyle="1" w:styleId="QuoteChar">
    <w:name w:val="Quote Char"/>
    <w:basedOn w:val="DefaultParagraphFont"/>
    <w:rPr>
      <w:i/>
      <w:iCs/>
      <w:color w:val="404040"/>
    </w:rPr>
  </w:style>
  <w:style w:type="paragraph" w:styleId="ListParagraph">
    <w:name w:val="List Paragraph"/>
    <w:basedOn w:val="Normal"/>
    <w:pPr>
      <w:ind w:left="720"/>
      <w:contextualSpacing/>
    </w:pPr>
  </w:style>
  <w:style w:type="character" w:styleId="IntenseEmphasis">
    <w:name w:val="Intense Emphasis"/>
    <w:basedOn w:val="DefaultParagraphFont"/>
    <w:rPr>
      <w:i/>
      <w:iCs/>
      <w:color w:val="0F4761"/>
    </w:rPr>
  </w:style>
  <w:style w:type="paragraph" w:styleId="IntenseQuote">
    <w:name w:val="Intense Quote"/>
    <w:basedOn w:val="Normal"/>
    <w:next w:val="Normal"/>
    <w:pPr>
      <w:pBdr>
        <w:top w:val="single" w:sz="4" w:space="10" w:color="0F4761"/>
        <w:bottom w:val="single" w:sz="4" w:space="10" w:color="0F4761"/>
      </w:pBdr>
      <w:spacing w:before="360" w:after="360"/>
      <w:ind w:left="864" w:right="864"/>
      <w:jc w:val="center"/>
    </w:pPr>
    <w:rPr>
      <w:i/>
      <w:iCs/>
      <w:color w:val="0F4761"/>
    </w:rPr>
  </w:style>
  <w:style w:type="character" w:customStyle="1" w:styleId="IntenseQuoteChar">
    <w:name w:val="Intense Quote Char"/>
    <w:basedOn w:val="DefaultParagraphFont"/>
    <w:rPr>
      <w:i/>
      <w:iCs/>
      <w:color w:val="0F4761"/>
    </w:rPr>
  </w:style>
  <w:style w:type="character" w:styleId="IntenseReference">
    <w:name w:val="Intense Reference"/>
    <w:basedOn w:val="DefaultParagraphFont"/>
    <w:rPr>
      <w:b/>
      <w:bCs/>
      <w:smallCaps/>
      <w:color w:val="0F4761"/>
      <w:spacing w:val="5"/>
    </w:rPr>
  </w:style>
  <w:style w:type="paragraph" w:customStyle="1" w:styleId="Predefinito">
    <w:name w:val="Predefinito"/>
    <w:pPr>
      <w:suppressAutoHyphens/>
      <w:spacing w:after="0"/>
      <w:textAlignment w:val="baseline"/>
    </w:pPr>
    <w:rPr>
      <w:rFonts w:ascii="FreeSans" w:eastAsia="DejaVu Sans" w:hAnsi="FreeSans" w:cs="Liberation Sans"/>
      <w:color w:val="000000"/>
      <w:sz w:val="36"/>
      <w:szCs w:val="24"/>
      <w:lang w:val="en-GB" w:eastAsia="zh-CN" w:bidi="hi-IN"/>
    </w:rPr>
  </w:style>
  <w:style w:type="character" w:styleId="Hyperlink">
    <w:name w:val="Hyperlink"/>
    <w:basedOn w:val="DefaultParagraphFont"/>
    <w:rPr>
      <w:color w:val="467886"/>
      <w:u w:val="single"/>
    </w:rPr>
  </w:style>
  <w:style w:type="character" w:styleId="UnresolvedMention">
    <w:name w:val="Unresolved Mention"/>
    <w:basedOn w:val="DefaultParagraphFont"/>
    <w:rPr>
      <w:color w:val="605E5C"/>
      <w:shd w:val="clear" w:color="auto" w:fill="E1DFDD"/>
    </w:rPr>
  </w:style>
  <w:style w:type="character" w:styleId="Strong">
    <w:name w:val="Strong"/>
    <w:basedOn w:val="DefaultParagraphFont"/>
    <w:rPr>
      <w:b/>
      <w:bCs/>
    </w:rPr>
  </w:style>
  <w:style w:type="character" w:styleId="FollowedHyperlink">
    <w:name w:val="FollowedHyperlink"/>
    <w:basedOn w:val="DefaultParagraphFont"/>
    <w:rPr>
      <w:color w:val="96607D"/>
      <w:u w:val="single"/>
    </w:rPr>
  </w:style>
  <w:style w:type="paragraph" w:customStyle="1" w:styleId="mb-2">
    <w:name w:val="mb-2"/>
    <w:basedOn w:val="Normal"/>
    <w:pPr>
      <w:spacing w:before="100" w:after="100"/>
    </w:pPr>
    <w:rPr>
      <w:rFonts w:ascii="Times New Roman" w:eastAsia="Times New Roman" w:hAnsi="Times New Roman"/>
      <w:sz w:val="24"/>
      <w:szCs w:val="24"/>
    </w:rPr>
  </w:style>
  <w:style w:type="character" w:customStyle="1" w:styleId="page-jump-button-wrapper">
    <w:name w:val="page-jump-button-wrapper"/>
    <w:basedOn w:val="DefaultParagraphFont"/>
  </w:style>
  <w:style w:type="paragraph" w:styleId="FootnoteText">
    <w:name w:val="footnote text"/>
    <w:basedOn w:val="Normal"/>
    <w:pPr>
      <w:spacing w:after="0"/>
    </w:pPr>
    <w:rPr>
      <w:sz w:val="20"/>
      <w:szCs w:val="20"/>
    </w:rPr>
  </w:style>
  <w:style w:type="character" w:customStyle="1" w:styleId="FootnoteTextChar">
    <w:name w:val="Footnote Text Char"/>
    <w:basedOn w:val="DefaultParagraphFont"/>
    <w:rPr>
      <w:sz w:val="20"/>
      <w:szCs w:val="20"/>
    </w:rPr>
  </w:style>
  <w:style w:type="character" w:styleId="FootnoteReference">
    <w:name w:val="footnote reference"/>
    <w:basedOn w:val="DefaultParagraphFont"/>
    <w:rPr>
      <w:position w:val="0"/>
      <w:vertAlign w:val="superscript"/>
    </w:rPr>
  </w:style>
  <w:style w:type="paragraph" w:styleId="Header">
    <w:name w:val="header"/>
    <w:basedOn w:val="Normal"/>
    <w:pPr>
      <w:tabs>
        <w:tab w:val="center" w:pos="4680"/>
        <w:tab w:val="right" w:pos="9360"/>
      </w:tabs>
      <w:spacing w:after="0"/>
    </w:pPr>
  </w:style>
  <w:style w:type="character" w:customStyle="1" w:styleId="HeaderChar">
    <w:name w:val="Header Char"/>
    <w:basedOn w:val="DefaultParagraphFont"/>
  </w:style>
  <w:style w:type="paragraph" w:styleId="Footer">
    <w:name w:val="footer"/>
    <w:basedOn w:val="Normal"/>
    <w:pPr>
      <w:tabs>
        <w:tab w:val="center" w:pos="4680"/>
        <w:tab w:val="right" w:pos="9360"/>
      </w:tabs>
      <w:spacing w:after="0"/>
    </w:pPr>
  </w:style>
  <w:style w:type="character" w:customStyle="1" w:styleId="FooterChar">
    <w:name w:val="Footer Char"/>
    <w:basedOn w:val="DefaultParagraphFont"/>
  </w:style>
  <w:style w:type="paragraph" w:styleId="NormalWeb">
    <w:name w:val="Normal (Web)"/>
    <w:basedOn w:val="Normal"/>
    <w:pPr>
      <w:spacing w:before="100" w:after="100"/>
    </w:pPr>
    <w:rPr>
      <w:rFonts w:ascii="Times New Roman" w:eastAsia="Times New Roman" w:hAnsi="Times New Roman"/>
      <w:sz w:val="24"/>
      <w:szCs w:val="24"/>
    </w:rPr>
  </w:style>
  <w:style w:type="table" w:styleId="TableGrid">
    <w:name w:val="Table Grid"/>
    <w:basedOn w:val="TableNormal"/>
    <w:uiPriority w:val="39"/>
    <w:rsid w:val="00B02602"/>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47283C"/>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47283C"/>
    <w:rPr>
      <w:rFonts w:ascii="Consolas" w:hAnsi="Consolas"/>
      <w:sz w:val="20"/>
      <w:szCs w:val="20"/>
    </w:rPr>
  </w:style>
  <w:style w:type="paragraph" w:styleId="Subtitle">
    <w:name w:val="Subtitle"/>
    <w:basedOn w:val="Normal"/>
    <w:next w:val="Normal"/>
    <w:uiPriority w:val="11"/>
    <w:qFormat/>
    <w:rPr>
      <w:color w:val="595959"/>
      <w:sz w:val="28"/>
      <w:szCs w:val="28"/>
    </w:rPr>
  </w:style>
  <w:style w:type="table" w:customStyle="1" w:styleId="a">
    <w:basedOn w:val="TableNormal"/>
    <w:pPr>
      <w:spacing w:after="0"/>
    </w:pPr>
    <w:tblPr>
      <w:tblStyleRowBandSize w:val="1"/>
      <w:tblStyleColBandSize w:val="1"/>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_viiAAoLik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s://www.youtube.com/watch?v=sDw72ySrkks"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wtmSAkU9FuChioxjLS0MXQXc3g==">CgMxLjAaJwoBMBIiCiAIBCocCgtBQUFCb3ZNdXZNSRAIGgtBQUFCb3ZNdXZNSRonCgExEiIKIAgEKhwKC0FBQUJvdk11dks0EAgaC0FBQUJvdk11dks0GicKATISIgogCAQqHAoLQUFBQm92TXV2SzQQCBoLQUFBQm92aTF5V3caJwoBMxIiCiAIBCocCgtBQUFCb3ZSV05iaxAIGgtBQUFCb3ZSV05iaxonCgE0EiIKIAgEKhwKC0FBQUJvdlJXTEtFEAgaC0FBQUJvdlJXTEtFGicKATUSIgogCAQqHAoLQUFBQm92UldMTFUQCBoLQUFBQm92UldMTFUipgQKC0FBQUJvdk11dks0EvQDCgtBQUFCb3ZNdXZLNBILQUFBQm92TXV2SzQaRQoJdGV4dC9odG1sEjhTaGFuZSAyMDIyIGlzIFNoYW5lLCBXaWxsYWVydCBhbmQgVHV0ZXJzIG9yIFNoYW5lIGV0IGFsLiJGCgp0ZXh0L3BsYWluEjhTaGFuZSAyMDIyIGlzIFNoYW5lLCBXaWxsYWVydCBhbmQgVHV0ZXJzIG9yIFNoYW5lIGV0IGFsLiobIhUxMDM4NDk5MTQ3NDUwMTIyODg5NjYoADgAMIzQtu6HMziCwMvyhzNCoQEKC0FBQUJvdmkxeVd3EgtBQUFCb3ZNdXZLNBoWCgl0ZXh0L2h0bWwSCUNvcnJlY3RlZCIXCgp0ZXh0L3BsYWluEglDb3JyZWN0ZWQqGyIVMTE3MzkyODUwOTkwODE2NzI1MTQ5KAA4ADCCwMvyhzM4gsDL8oczWgwxZmR0cTcyMGtwNDFyAiAAeACaAQYIABAAGACqAQsSCUNvcnJlY3RlZEoaCgp0ZXh0L3BsYWluEgxTaGFuZSAoMjAyMilaDHI0Y2E2dXJlNTZkNHICIAB4AJoBBggAEAAYAKoBOhI4U2hhbmUgMjAyMiBpcyBTaGFuZSwgV2lsbGFlcnQgYW5kIFR1dGVycyBvciBTaGFuZSBldCBhbC6wAQC4AQAYjNC27oczIILAy/KHMzAAQhBraXguejZqZ3B6d2NwbHNkIr0FCgtBQUFCb3ZSV0xMVRKLBQoLQUFBQm92UldMTFUSC0FBQUJvdlJXTExVGkcKCXRleHQvaHRtbBI6YWxzbyB0aGlzIG9uZSBzZWVtcyB0byBiZSBhIHJlcGV0aXRpb24gb2Ygd2hhdCBzYWlkIGJlZm9yZSJICgp0ZXh0L3BsYWluEjphbHNvIHRoaXMgb25lIHNlZW1zIHRvIGJlIGEgcmVwZXRpdGlvbiBvZiB3aGF0IHNhaWQgYmVmb3JlKhsiFTEwMzg0OTkxNDc0NTAxMjI4ODk2NigAOAAwlbCa2IczOJWwmtiHM0rOAgoKdGV4dC9wbGFpbhK/AlRoZSB0ZXJtIOKAnGdhc2xpZ2h0aW5nIiByZWZlcnMgdG8gdGhlIHVuZGVybWluaW5nIG9mIGFub3RoZXIgcGVyc29u4oCZcyByZWFsaXR5IGJ5IGRlbnlpbmcgZmFjdHMsIHRoZSBlbnZpcm9ubWVudCBvciB0aGVpciBmZWVsaW5ncy4gVGhlIHRhcmdldHMgb2YgZ2FzbGlnaHRpbmcgYXJlIG1hbmlwdWxhdGVkIGludG8gdHVybmluZyBhZ2FpbnN0IHRoZWlyIHBlcmNlcHRpb25zLCB0aGVpciBmZWVsaW5ncyBhbmQgd2hvIHRoZXkgcmVhbGx5IGFyZS4gVGhlIGFpbSBvZiB0aGUgc2Vjb25kIHBhcnQgb2YgdGhpcyBtb2R1bGUgaXMgdG8gZGlzY3VzcyBnYXNsaWdaDDU5YWx5ZTF4eTdyZXICIAB4AJoBBggAEAAYAKoBPBI6YWxzbyB0aGlzIG9uZSBzZWVtcyB0byBiZSBhIHJlcGV0aXRpb24gb2Ygd2hhdCBzYWlkIGJlZm9yZbABALgBABiVsJrYhzMglbCa2IczMABCEGtpeC5rcWM0bXdpcjhycG0iwQgKC0FBQUJvdlJXTEtFEo8ICgtBQUFCb3ZSV0xLRRILQUFBQm92UldMS0UapQIKCXRleHQvaHRtbBKXAmlzbiYjMzk7dCBpbiBjb250cmFkaWN0aW9uIHdpdGggd2hhdCBzYWlkIGJlZm9yZSBhYm91dCAmcXVvdDtwb2xpdGljaWFucyBjYW4gdW5kZXJtaW5lIGNpdGl6ZW5zJiMzOTsgc2VsZi1jb25maWRlbmNlIGJ5IGludHJvZHVjaW5nIGNvdW50ZXJhcmd1bWVudHMsIGRpc2NyZWRpdGluZyBjcml0aWNzIGFuZCBkZW55aW5nIGZhY3RzJnF1b3Q7Ljxicj5JZiB0aGV5IGRvIHVuZGVybWluZSBjaXRpemVuIHNlbGYgY29uZmlkZW5jZSB3aHkgdGhlbiBjaXRpemVuIHNob3VsZCB0cnVzdCB0aGVtPyKRAgoKdGV4dC9wbGFpbhKCAmlzbid0IGluIGNvbnRyYWRpY3Rpb24gd2l0aCB3aGF0IHNhaWQgYmVmb3JlIGFib3V0ICJwb2xpdGljaWFucyBjYW4gdW5kZXJtaW5lIGNpdGl6ZW5zJyBzZWxmLWNvbmZpZGVuY2UgYnkgaW50cm9kdWNpbmcgY291bnRlcmFyZ3VtZW50cywgZGlzY3JlZGl0aW5nIGNyaXRpY3MgYW5kIGRlbnlpbmcgZmFjdHMiLgpJZiB0aGV5IGRvIHVuZGVybWluZSBjaXRpemVuIHNlbGYgY29uZmlkZW5jZSB3aHkgdGhlbiBjaXRpemVuIHNob3VsZCB0cnVzdCB0aGVtPyobIhUxMDM4NDk5MTQ3NDUwMTIyODg5NjYoADgAMMnM8NeHMzjJzPDXhzNKSwoKdGV4dC9wbGFpbhI9cGVvcGxl4oCZcyB0cnVzdCBpbiBwdWJsaWMgaW5zdGl0dXRpb25zLCBwb2xpdGljaWFucywgZXhwZXJ0c1oMczFqeGVkNHUwZG9ucgIgAHgAmgEGCAAQABgAqgGaAhKXAmlzbiYjMzk7dCBpbiBjb250cmFkaWN0aW9uIHdpdGggd2hhdCBzYWlkIGJlZm9yZSBhYm91dCAmcXVvdDtwb2xpdGljaWFucyBjYW4gdW5kZXJtaW5lIGNpdGl6ZW5zJiMzOTsgc2VsZi1jb25maWRlbmNlIGJ5IGludHJvZHVjaW5nIGNvdW50ZXJhcmd1bWVudHMsIGRpc2NyZWRpdGluZyBjcml0aWNzIGFuZCBkZW55aW5nIGZhY3RzJnF1b3Q7Ljxicj5JZiB0aGV5IGRvIHVuZGVybWluZSBjaXRpemVuIHNlbGYgY29uZmlkZW5jZSB3aHkgdGhlbiBjaXRpemVuIHNob3VsZCB0cnVzdCB0aGVtP7ABALgBABjJzPDXhzMgyczw14czMABCEGtpeC5yN2s4eDNkcnQ3c3kigQMKC0FBQUJvdlJXTmJrEs8CCgtBQUFCb3ZSV05iaxILQUFBQm92UldOYmsaRAoJdGV4dC9odG1sEjd0aGlzIHJlZmVyZW5jZSBpcyBub3QgcHJlc2VudCBpbiB0aGUgZmluYWwgYmlibGlvZ3JhcGh5IkUKCnRleHQvcGxhaW4SN3RoaXMgcmVmZXJlbmNlIGlzIG5vdCBwcmVzZW50IGluIHRoZSBmaW5hbCBiaWJsaW9ncmFwaHkqGyIVMTAzODQ5OTE0NzQ1MDEyMjg4OTY2KAA4ADCy0rLZhzM4stKy2YczShwKCnRleHQvcGxhaW4SDkphbmRyaWMgKDIwMTgpWgxnaHo2czRtaTRmMGJyAiAAeACaAQYIABAAGACqATkSN3RoaXMgcmVmZXJlbmNlIGlzIG5vdCBwcmVzZW50IGluIHRoZSBmaW5hbCBiaWJsaW9ncmFwaHmwAQC4AQAYstKy2YczILLSstmHMzAAQhBraXguamluOGduMTVvdWxwItQDCgtBQUFCb3ZNdXZNSRKiAwoLQUFBQm92TXV2TUkSC0FBQUJvdk11dk1JGlsKCXRleHQvaHRtbBJOdGhpcyBpcyB2ZXJ5IHNpbWlsYXIgdG8gd2hhdCBkb25lIGluIHRoZSBJbmZvcm1hdGlvbiBhbmQgTWVkaWEgTGl0ZXJhY3kgTW9kdWxlIlwKCnRleHQvcGxhaW4STnRoaXMgaXMgdmVyeSBzaW1pbGFyIHRvIHdoYXQgZG9uZSBpbiB0aGUgSW5mb3JtYXRpb24gYW5kIE1lZGlhIExpdGVyYWN5IE1vZHVsZSobIhUxMDM4NDk5MTQ3NDUwMTIyODg5NjYoADgAMP+6ou+HMzj/uqLvhzNKKgoKdGV4dC9wbGFpbhIccG9saXRpY2FsIGFuZCBlY29ub21pYyBnYWluLloMaDU4czQ1dHozYzg4cgIgAHgAmgEGCAAQABgAqgFQEk50aGlzIGlzIHZlcnkgc2ltaWxhciB0byB3aGF0IGRvbmUgaW4gdGhlIEluZm9ybWF0aW9uIGFuZCBNZWRpYSBMaXRlcmFjeSBNb2R1bGWwAQC4AQAY/7qi74czIP+6ou+HMzAAQhBraXguanc4cmoxYWM0bndrMg5oLmowZG1nbnUyOGxydTIOaC56M3ZpaTZtYjE0amYyDmguM2FoeDlnY2s2MG9iMg5oLmdtN2M0Mjk4ZmwxbzIOaC5la2hwZno3aXQwaHcyDmgudW1qN2Zwd21sZTdwMg5oLnltaGY5c3J4b3dxaDIOaC5hOXRwN29vOXRyMnEyDmguZ3N1ZDFpMnVjamF4OAByITF4LVU0TzNDNXFIQnZJV3BSR2QtbFFidzZQRjE2dWtJZ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19</Pages>
  <Words>5940</Words>
  <Characters>33858</Characters>
  <Application>Microsoft Office Word</Application>
  <DocSecurity>0</DocSecurity>
  <Lines>282</Lines>
  <Paragraphs>79</Paragraphs>
  <ScaleCrop>false</ScaleCrop>
  <Company/>
  <LinksUpToDate>false</LinksUpToDate>
  <CharactersWithSpaces>39719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Κονιδάρη Βικτωρία-Χρυσούλα</dc:creator>
  <cp:lastModifiedBy>Κονιδάρη Βικτωρία-Χρυσούλα</cp:lastModifiedBy>
  <cp:revision>2</cp:revision>
  <dcterms:created xsi:type="dcterms:W3CDTF">2025-08-06T07:52:00Z</dcterms:created>
  <dcterms:modified xsi:type="dcterms:W3CDTF">2025-08-06T07:52:00Z</dcterms:modified>
</cp:coreProperties>
</file>